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华文仿宋" w:hAnsi="华文仿宋" w:eastAsia="华文仿宋" w:cs="华文仿宋"/>
          <w:b/>
          <w:bCs/>
          <w:sz w:val="32"/>
          <w:szCs w:val="32"/>
          <w:lang w:eastAsia="zh-CN"/>
        </w:rPr>
      </w:pPr>
      <w:r>
        <w:rPr>
          <w:rFonts w:ascii="华文仿宋" w:hAnsi="华文仿宋" w:eastAsia="华文仿宋" w:cs="华文仿宋"/>
          <w:lang w:eastAsia="zh-CN"/>
        </w:rPr>
        <w:drawing>
          <wp:anchor distT="0" distB="0" distL="114300" distR="114300" simplePos="0" relativeHeight="251662336" behindDoc="0" locked="0" layoutInCell="1" allowOverlap="1">
            <wp:simplePos x="0" y="0"/>
            <wp:positionH relativeFrom="column">
              <wp:posOffset>-656590</wp:posOffset>
            </wp:positionH>
            <wp:positionV relativeFrom="paragraph">
              <wp:posOffset>-813435</wp:posOffset>
            </wp:positionV>
            <wp:extent cx="6962140" cy="11109325"/>
            <wp:effectExtent l="0" t="0" r="10160" b="15875"/>
            <wp:wrapTopAndBottom/>
            <wp:docPr id="3" name="图片 3" descr="27da79208a12b07ee451abecd770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da79208a12b07ee451abecd77038d"/>
                    <pic:cNvPicPr>
                      <a:picLocks noChangeAspect="1"/>
                    </pic:cNvPicPr>
                  </pic:nvPicPr>
                  <pic:blipFill>
                    <a:blip r:embed="rId7"/>
                    <a:stretch>
                      <a:fillRect/>
                    </a:stretch>
                  </pic:blipFill>
                  <pic:spPr>
                    <a:xfrm>
                      <a:off x="0" y="0"/>
                      <a:ext cx="6962140" cy="11109325"/>
                    </a:xfrm>
                    <a:prstGeom prst="rect">
                      <a:avLst/>
                    </a:prstGeom>
                  </pic:spPr>
                </pic:pic>
              </a:graphicData>
            </a:graphic>
          </wp:anchor>
        </w:drawing>
      </w:r>
      <w:r>
        <w:rPr>
          <w:rFonts w:ascii="华文仿宋" w:hAnsi="华文仿宋" w:eastAsia="华文仿宋" w:cs="华文仿宋"/>
          <w:lang w:eastAsia="zh-CN"/>
        </w:rPr>
        <w:br w:type="page"/>
      </w:r>
    </w:p>
    <w:p>
      <w:pPr>
        <w:rPr>
          <w:rFonts w:ascii="华文仿宋" w:hAnsi="华文仿宋" w:eastAsia="华文仿宋" w:cs="华文仿宋"/>
          <w:lang w:eastAsia="zh-CN"/>
        </w:rPr>
      </w:pPr>
    </w:p>
    <w:sdt>
      <w:sdtPr>
        <w:rPr>
          <w:rFonts w:asciiTheme="minorHAnsi" w:hAnsiTheme="minorHAnsi" w:eastAsiaTheme="minorEastAsia" w:cstheme="minorBidi"/>
          <w:color w:val="auto"/>
          <w:sz w:val="22"/>
          <w:szCs w:val="22"/>
          <w:lang w:val="zh-CN" w:eastAsia="en-US"/>
        </w:rPr>
        <w:id w:val="1274370372"/>
        <w:docPartObj>
          <w:docPartGallery w:val="Table of Contents"/>
          <w:docPartUnique/>
        </w:docPartObj>
      </w:sdtPr>
      <w:sdtEndPr>
        <w:rPr>
          <w:rFonts w:asciiTheme="minorHAnsi" w:hAnsiTheme="minorHAnsi" w:eastAsiaTheme="minorEastAsia" w:cstheme="minorBidi"/>
          <w:color w:val="auto"/>
          <w:sz w:val="22"/>
          <w:szCs w:val="22"/>
          <w:lang w:val="zh-CN" w:eastAsia="en-US"/>
        </w:rPr>
      </w:sdtEndPr>
      <w:sdtContent>
        <w:p>
          <w:pPr>
            <w:pStyle w:val="38"/>
            <w:jc w:val="center"/>
            <w:rPr>
              <w:rFonts w:ascii="楷体" w:hAnsi="楷体" w:eastAsia="楷体"/>
              <w:color w:val="auto"/>
              <w:sz w:val="40"/>
              <w:szCs w:val="40"/>
              <w:lang w:val="zh-CN"/>
            </w:rPr>
          </w:pPr>
          <w:r>
            <w:rPr>
              <w:rFonts w:ascii="楷体" w:hAnsi="楷体" w:eastAsia="楷体"/>
              <w:color w:val="auto"/>
              <w:sz w:val="40"/>
              <w:szCs w:val="40"/>
              <w:lang w:val="zh-CN"/>
            </w:rPr>
            <w:t>目录</w:t>
          </w:r>
        </w:p>
        <w:p>
          <w:pPr>
            <w:rPr>
              <w:lang w:val="zh-CN" w:eastAsia="zh-CN"/>
            </w:rPr>
          </w:pPr>
        </w:p>
        <w:p>
          <w:pPr>
            <w:pStyle w:val="11"/>
            <w:spacing w:line="480" w:lineRule="auto"/>
            <w:rPr>
              <w:rFonts w:ascii="仿宋" w:hAnsi="仿宋" w:eastAsia="仿宋"/>
              <w:sz w:val="32"/>
              <w:szCs w:val="32"/>
              <w:lang w:eastAsia="zh-CN"/>
            </w:rPr>
          </w:pPr>
          <w:r>
            <w:rPr>
              <w:rFonts w:hint="eastAsia" w:ascii="仿宋" w:hAnsi="仿宋" w:eastAsia="仿宋"/>
              <w:sz w:val="32"/>
              <w:szCs w:val="32"/>
              <w:lang w:eastAsia="zh-CN"/>
            </w:rPr>
            <w:t>一、论坛议程</w:t>
          </w:r>
          <w:r>
            <w:rPr>
              <w:rFonts w:ascii="仿宋" w:hAnsi="仿宋" w:eastAsia="仿宋"/>
              <w:sz w:val="32"/>
              <w:szCs w:val="32"/>
            </w:rPr>
            <w:ptab w:relativeTo="margin" w:alignment="right" w:leader="dot"/>
          </w:r>
          <w:r>
            <w:rPr>
              <w:rFonts w:ascii="仿宋" w:hAnsi="仿宋" w:eastAsia="仿宋"/>
              <w:sz w:val="32"/>
              <w:szCs w:val="32"/>
              <w:lang w:val="zh-CN" w:eastAsia="zh-CN"/>
            </w:rPr>
            <w:t>1</w:t>
          </w:r>
        </w:p>
        <w:p>
          <w:pPr>
            <w:spacing w:line="480" w:lineRule="auto"/>
            <w:rPr>
              <w:rFonts w:ascii="仿宋" w:hAnsi="仿宋" w:eastAsia="仿宋"/>
              <w:sz w:val="32"/>
              <w:szCs w:val="32"/>
              <w:lang w:val="zh-CN" w:eastAsia="zh-CN"/>
            </w:rPr>
          </w:pPr>
          <w:r>
            <w:rPr>
              <w:rFonts w:hint="eastAsia" w:ascii="仿宋" w:hAnsi="仿宋" w:eastAsia="仿宋"/>
              <w:sz w:val="32"/>
              <w:szCs w:val="32"/>
              <w:lang w:val="zh-CN" w:eastAsia="zh-CN"/>
            </w:rPr>
            <w:t>二、</w:t>
          </w:r>
          <w:r>
            <w:rPr>
              <w:rFonts w:hint="eastAsia" w:ascii="仿宋" w:hAnsi="仿宋" w:eastAsia="仿宋"/>
              <w:sz w:val="32"/>
              <w:szCs w:val="32"/>
              <w:lang w:eastAsia="zh-CN"/>
            </w:rPr>
            <w:t>大会发言专家简介、题目及摘要</w:t>
          </w:r>
          <w:r>
            <w:rPr>
              <w:rFonts w:ascii="仿宋" w:hAnsi="仿宋" w:eastAsia="仿宋"/>
              <w:sz w:val="32"/>
              <w:szCs w:val="32"/>
            </w:rPr>
            <w:ptab w:relativeTo="margin" w:alignment="right" w:leader="dot"/>
          </w:r>
          <w:r>
            <w:rPr>
              <w:rFonts w:ascii="仿宋" w:hAnsi="仿宋" w:eastAsia="仿宋"/>
              <w:sz w:val="32"/>
              <w:szCs w:val="32"/>
              <w:lang w:val="zh-CN" w:eastAsia="zh-CN"/>
            </w:rPr>
            <w:t>2</w:t>
          </w:r>
        </w:p>
        <w:p>
          <w:pPr>
            <w:pStyle w:val="11"/>
            <w:spacing w:line="480" w:lineRule="auto"/>
            <w:rPr>
              <w:rFonts w:ascii="仿宋" w:hAnsi="仿宋" w:eastAsia="仿宋"/>
              <w:sz w:val="32"/>
              <w:szCs w:val="32"/>
              <w:lang w:eastAsia="zh-CN"/>
            </w:rPr>
          </w:pPr>
          <w:r>
            <w:rPr>
              <w:rFonts w:hint="eastAsia" w:ascii="仿宋" w:hAnsi="仿宋" w:eastAsia="仿宋"/>
              <w:sz w:val="32"/>
              <w:szCs w:val="32"/>
              <w:lang w:eastAsia="zh-CN"/>
            </w:rPr>
            <w:t>二、分组讨论论文摘要</w:t>
          </w:r>
          <w:r>
            <w:rPr>
              <w:rFonts w:ascii="仿宋" w:hAnsi="仿宋" w:eastAsia="仿宋"/>
              <w:sz w:val="32"/>
              <w:szCs w:val="32"/>
            </w:rPr>
            <w:ptab w:relativeTo="margin" w:alignment="right" w:leader="dot"/>
          </w:r>
          <w:r>
            <w:rPr>
              <w:rFonts w:ascii="仿宋" w:hAnsi="仿宋" w:eastAsia="仿宋"/>
              <w:sz w:val="32"/>
              <w:szCs w:val="32"/>
              <w:lang w:val="zh-CN" w:eastAsia="zh-CN"/>
            </w:rPr>
            <w:t>6</w:t>
          </w:r>
        </w:p>
        <w:p>
          <w:pPr>
            <w:pStyle w:val="13"/>
            <w:spacing w:line="480" w:lineRule="auto"/>
            <w:ind w:left="440"/>
            <w:rPr>
              <w:rFonts w:ascii="仿宋" w:hAnsi="仿宋" w:eastAsia="仿宋"/>
              <w:sz w:val="32"/>
              <w:szCs w:val="32"/>
              <w:lang w:eastAsia="zh-CN"/>
            </w:rPr>
          </w:pPr>
          <w:r>
            <w:rPr>
              <w:rFonts w:hint="eastAsia" w:ascii="仿宋" w:hAnsi="仿宋" w:eastAsia="仿宋"/>
              <w:sz w:val="32"/>
              <w:szCs w:val="32"/>
              <w:lang w:eastAsia="zh-CN"/>
            </w:rPr>
            <w:t>外国语言学及应用语言学</w:t>
          </w:r>
          <w:r>
            <w:rPr>
              <w:rFonts w:ascii="仿宋" w:hAnsi="仿宋" w:eastAsia="仿宋"/>
              <w:sz w:val="32"/>
              <w:szCs w:val="32"/>
            </w:rPr>
            <w:ptab w:relativeTo="margin" w:alignment="right" w:leader="dot"/>
          </w:r>
          <w:r>
            <w:rPr>
              <w:rFonts w:hint="eastAsia" w:ascii="仿宋" w:hAnsi="仿宋" w:eastAsia="仿宋"/>
              <w:sz w:val="32"/>
              <w:szCs w:val="32"/>
              <w:lang w:eastAsia="zh-CN"/>
            </w:rPr>
            <w:t>5</w:t>
          </w:r>
        </w:p>
        <w:p>
          <w:pPr>
            <w:pStyle w:val="7"/>
            <w:spacing w:line="480" w:lineRule="auto"/>
            <w:ind w:left="446"/>
            <w:rPr>
              <w:rFonts w:ascii="仿宋" w:hAnsi="仿宋" w:eastAsia="仿宋"/>
              <w:sz w:val="32"/>
              <w:szCs w:val="32"/>
            </w:rPr>
          </w:pPr>
          <w:r>
            <w:rPr>
              <w:rFonts w:hint="eastAsia" w:ascii="仿宋" w:hAnsi="仿宋" w:eastAsia="仿宋"/>
              <w:sz w:val="32"/>
              <w:szCs w:val="32"/>
            </w:rPr>
            <w:t>文学与比较文学</w:t>
          </w:r>
          <w:r>
            <w:rPr>
              <w:rFonts w:ascii="仿宋" w:hAnsi="仿宋" w:eastAsia="仿宋"/>
              <w:sz w:val="32"/>
              <w:szCs w:val="32"/>
            </w:rPr>
            <w:ptab w:relativeTo="margin" w:alignment="right" w:leader="dot"/>
          </w:r>
          <w:r>
            <w:rPr>
              <w:rFonts w:hint="eastAsia" w:ascii="仿宋" w:hAnsi="仿宋" w:eastAsia="仿宋"/>
              <w:sz w:val="32"/>
              <w:szCs w:val="32"/>
            </w:rPr>
            <w:t>9</w:t>
          </w:r>
        </w:p>
        <w:p>
          <w:pPr>
            <w:pStyle w:val="7"/>
            <w:spacing w:line="480" w:lineRule="auto"/>
            <w:ind w:left="446"/>
            <w:rPr>
              <w:rFonts w:ascii="仿宋" w:hAnsi="仿宋" w:eastAsia="仿宋"/>
              <w:sz w:val="32"/>
              <w:szCs w:val="32"/>
            </w:rPr>
          </w:pPr>
          <w:r>
            <w:rPr>
              <w:rFonts w:hint="eastAsia" w:ascii="仿宋" w:hAnsi="仿宋" w:eastAsia="仿宋"/>
              <w:sz w:val="32"/>
              <w:szCs w:val="32"/>
            </w:rPr>
            <w:t>翻译学与笔译</w:t>
          </w:r>
          <w:r>
            <w:rPr>
              <w:rFonts w:ascii="仿宋" w:hAnsi="仿宋" w:eastAsia="仿宋"/>
              <w:sz w:val="32"/>
              <w:szCs w:val="32"/>
            </w:rPr>
            <w:ptab w:relativeTo="margin" w:alignment="right" w:leader="dot"/>
          </w:r>
          <w:r>
            <w:rPr>
              <w:rFonts w:ascii="仿宋" w:hAnsi="仿宋" w:eastAsia="仿宋"/>
              <w:sz w:val="32"/>
              <w:szCs w:val="32"/>
              <w:lang w:val="zh-CN"/>
            </w:rPr>
            <w:t>1</w:t>
          </w:r>
          <w:r>
            <w:rPr>
              <w:rFonts w:hint="eastAsia" w:ascii="仿宋" w:hAnsi="仿宋" w:eastAsia="仿宋"/>
              <w:sz w:val="32"/>
              <w:szCs w:val="32"/>
            </w:rPr>
            <w:t>3</w:t>
          </w:r>
        </w:p>
        <w:p>
          <w:pPr>
            <w:rPr>
              <w:lang w:val="zh-CN" w:eastAsia="zh-CN"/>
            </w:rPr>
          </w:pPr>
        </w:p>
      </w:sdtContent>
    </w:sdt>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tabs>
          <w:tab w:val="left" w:pos="7250"/>
        </w:tabs>
        <w:rPr>
          <w:lang w:eastAsia="zh-CN"/>
        </w:rPr>
      </w:pPr>
      <w:r>
        <w:rPr>
          <w:lang w:eastAsia="zh-CN"/>
        </w:rPr>
        <w:tab/>
      </w:r>
    </w:p>
    <w:p>
      <w:pPr>
        <w:tabs>
          <w:tab w:val="left" w:pos="7250"/>
        </w:tabs>
        <w:rPr>
          <w:lang w:eastAsia="zh-CN"/>
        </w:rPr>
        <w:sectPr>
          <w:headerReference r:id="rId3" w:type="default"/>
          <w:footerReference r:id="rId4" w:type="default"/>
          <w:pgSz w:w="11910" w:h="16840"/>
          <w:pgMar w:top="1240" w:right="1660" w:bottom="1140" w:left="1680" w:header="935" w:footer="945" w:gutter="0"/>
          <w:cols w:space="720" w:num="1"/>
        </w:sectPr>
      </w:pPr>
      <w:r>
        <w:rPr>
          <w:lang w:eastAsia="zh-CN"/>
        </w:rPr>
        <w:tab/>
      </w:r>
    </w:p>
    <w:p>
      <w:pPr>
        <w:spacing w:line="360" w:lineRule="auto"/>
        <w:jc w:val="center"/>
        <w:outlineLvl w:val="0"/>
        <w:rPr>
          <w:rFonts w:ascii="华文仿宋" w:hAnsi="华文仿宋" w:eastAsia="华文仿宋" w:cs="华文仿宋"/>
          <w:b/>
          <w:bCs/>
          <w:sz w:val="32"/>
          <w:szCs w:val="32"/>
          <w:lang w:eastAsia="zh-CN"/>
        </w:rPr>
      </w:pPr>
      <w:bookmarkStart w:id="0" w:name="_Toc11636"/>
      <w:r>
        <w:rPr>
          <w:rFonts w:ascii="华文仿宋" w:hAnsi="华文仿宋" w:eastAsia="华文仿宋" w:cs="华文仿宋"/>
          <w:b/>
          <w:bCs/>
          <w:sz w:val="32"/>
          <w:szCs w:val="32"/>
          <w:lang w:eastAsia="zh-CN"/>
        </w:rPr>
        <w:t>日程安排</w:t>
      </w:r>
      <w:r>
        <w:rPr>
          <w:rFonts w:hint="eastAsia" w:ascii="华文仿宋" w:hAnsi="华文仿宋" w:eastAsia="华文仿宋" w:cs="华文仿宋"/>
          <w:b/>
          <w:bCs/>
          <w:sz w:val="32"/>
          <w:szCs w:val="32"/>
          <w:lang w:eastAsia="zh-CN"/>
        </w:rPr>
        <w:t>表</w:t>
      </w:r>
      <w:bookmarkEnd w:id="0"/>
    </w:p>
    <w:tbl>
      <w:tblPr>
        <w:tblStyle w:val="17"/>
        <w:tblpPr w:leftFromText="180" w:rightFromText="180" w:vertAnchor="text" w:horzAnchor="page" w:tblpXSpec="center" w:tblpY="35"/>
        <w:tblOverlap w:val="never"/>
        <w:tblW w:w="9278" w:type="dxa"/>
        <w:jc w:val="center"/>
        <w:tblLayout w:type="fixed"/>
        <w:tblCellMar>
          <w:top w:w="0" w:type="dxa"/>
          <w:left w:w="108" w:type="dxa"/>
          <w:bottom w:w="0" w:type="dxa"/>
          <w:right w:w="108" w:type="dxa"/>
        </w:tblCellMar>
      </w:tblPr>
      <w:tblGrid>
        <w:gridCol w:w="1127"/>
        <w:gridCol w:w="1306"/>
        <w:gridCol w:w="1073"/>
        <w:gridCol w:w="3241"/>
        <w:gridCol w:w="1534"/>
        <w:gridCol w:w="997"/>
      </w:tblGrid>
      <w:tr>
        <w:tblPrEx>
          <w:tblCellMar>
            <w:top w:w="0" w:type="dxa"/>
            <w:left w:w="108" w:type="dxa"/>
            <w:bottom w:w="0" w:type="dxa"/>
            <w:right w:w="108" w:type="dxa"/>
          </w:tblCellMar>
        </w:tblPrEx>
        <w:trPr>
          <w:trHeight w:val="90" w:hRule="atLeast"/>
          <w:jc w:val="center"/>
        </w:trPr>
        <w:tc>
          <w:tcPr>
            <w:tcW w:w="11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color w:val="000000"/>
                <w:kern w:val="2"/>
                <w:sz w:val="21"/>
                <w:szCs w:val="21"/>
                <w:lang w:eastAsia="zh-CN" w:bidi="ar"/>
              </w:rPr>
              <w:t>日期</w:t>
            </w:r>
          </w:p>
        </w:tc>
        <w:tc>
          <w:tcPr>
            <w:tcW w:w="13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color w:val="000000"/>
                <w:kern w:val="2"/>
                <w:sz w:val="21"/>
                <w:szCs w:val="21"/>
                <w:lang w:eastAsia="zh-CN" w:bidi="ar"/>
              </w:rPr>
              <w:t>时间</w:t>
            </w:r>
          </w:p>
        </w:tc>
        <w:tc>
          <w:tcPr>
            <w:tcW w:w="584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Times New Roman" w:hAnsi="Times New Roman" w:eastAsia="宋体" w:cs="Times New Roman"/>
                <w:color w:val="000000"/>
                <w:sz w:val="21"/>
                <w:szCs w:val="21"/>
                <w:lang w:eastAsia="zh-CN" w:bidi="ar"/>
              </w:rPr>
              <w:t>活动与安排</w:t>
            </w:r>
          </w:p>
        </w:tc>
        <w:tc>
          <w:tcPr>
            <w:tcW w:w="9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宋体" w:hAnsi="宋体" w:eastAsia="宋体" w:cs="宋体"/>
                <w:color w:val="000000"/>
                <w:kern w:val="2"/>
                <w:sz w:val="21"/>
                <w:szCs w:val="21"/>
                <w:lang w:eastAsia="zh-CN" w:bidi="ar"/>
              </w:rPr>
            </w:pPr>
            <w:r>
              <w:rPr>
                <w:rFonts w:ascii="宋体" w:hAnsi="宋体" w:eastAsia="宋体" w:cs="宋体"/>
                <w:color w:val="000000"/>
                <w:kern w:val="2"/>
                <w:sz w:val="21"/>
                <w:szCs w:val="21"/>
                <w:lang w:eastAsia="zh-CN" w:bidi="ar"/>
              </w:rPr>
              <w:t>地点</w:t>
            </w:r>
          </w:p>
        </w:tc>
      </w:tr>
      <w:tr>
        <w:tblPrEx>
          <w:tblCellMar>
            <w:top w:w="0" w:type="dxa"/>
            <w:left w:w="108" w:type="dxa"/>
            <w:bottom w:w="0" w:type="dxa"/>
            <w:right w:w="108" w:type="dxa"/>
          </w:tblCellMar>
        </w:tblPrEx>
        <w:trPr>
          <w:trHeight w:val="90" w:hRule="atLeast"/>
          <w:jc w:val="center"/>
        </w:trPr>
        <w:tc>
          <w:tcPr>
            <w:tcW w:w="1127"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1</w:t>
            </w:r>
            <w:r>
              <w:rPr>
                <w:rFonts w:hint="eastAsia" w:ascii="Times New Roman" w:hAnsi="Times New Roman" w:eastAsia="宋体" w:cs="Times New Roman"/>
                <w:color w:val="000000"/>
                <w:sz w:val="21"/>
                <w:szCs w:val="21"/>
                <w:lang w:eastAsia="zh-CN" w:bidi="ar"/>
              </w:rPr>
              <w:t>2</w:t>
            </w:r>
            <w:r>
              <w:rPr>
                <w:rFonts w:ascii="Times New Roman" w:hAnsi="Times New Roman" w:eastAsia="宋体" w:cs="Times New Roman"/>
                <w:color w:val="000000"/>
                <w:sz w:val="21"/>
                <w:szCs w:val="21"/>
                <w:lang w:eastAsia="zh-CN" w:bidi="ar"/>
              </w:rPr>
              <w:t>月</w:t>
            </w:r>
            <w:r>
              <w:rPr>
                <w:rFonts w:hint="eastAsia" w:ascii="Times New Roman" w:hAnsi="Times New Roman" w:eastAsia="宋体" w:cs="Times New Roman"/>
                <w:color w:val="000000"/>
                <w:sz w:val="21"/>
                <w:szCs w:val="21"/>
                <w:lang w:eastAsia="zh-CN" w:bidi="ar"/>
              </w:rPr>
              <w:t>2</w:t>
            </w:r>
            <w:r>
              <w:rPr>
                <w:rFonts w:ascii="Times New Roman" w:hAnsi="Times New Roman" w:eastAsia="宋体" w:cs="Times New Roman"/>
                <w:color w:val="000000"/>
                <w:sz w:val="21"/>
                <w:szCs w:val="21"/>
                <w:lang w:eastAsia="zh-CN" w:bidi="ar"/>
              </w:rPr>
              <w:t>日</w:t>
            </w:r>
          </w:p>
          <w:p>
            <w:pPr>
              <w:widowControl/>
              <w:spacing w:line="480" w:lineRule="auto"/>
              <w:jc w:val="center"/>
              <w:textAlignment w:val="center"/>
              <w:rPr>
                <w:rFonts w:ascii="Times New Roman" w:hAnsi="Times New Roman" w:eastAsia="宋体" w:cs="Times New Roman"/>
                <w:color w:val="000000"/>
                <w:sz w:val="21"/>
                <w:szCs w:val="21"/>
                <w:lang w:eastAsia="zh-CN" w:bidi="ar"/>
              </w:rPr>
            </w:pPr>
          </w:p>
        </w:tc>
        <w:tc>
          <w:tcPr>
            <w:tcW w:w="1306"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Times New Roman" w:hAnsi="Times New Roman" w:eastAsia="宋体" w:cs="Times New Roman"/>
                <w:color w:val="000000"/>
                <w:sz w:val="21"/>
                <w:szCs w:val="21"/>
                <w:lang w:eastAsia="zh-CN" w:bidi="ar"/>
              </w:rPr>
              <w:t>8:</w:t>
            </w:r>
            <w:r>
              <w:rPr>
                <w:rFonts w:hint="eastAsia" w:ascii="Times New Roman" w:hAnsi="Times New Roman" w:eastAsia="宋体" w:cs="Times New Roman"/>
                <w:color w:val="000000"/>
                <w:sz w:val="21"/>
                <w:szCs w:val="21"/>
                <w:lang w:eastAsia="zh-CN" w:bidi="ar"/>
              </w:rPr>
              <w:t>30</w:t>
            </w:r>
            <w:r>
              <w:rPr>
                <w:rFonts w:ascii="Times New Roman" w:hAnsi="Times New Roman" w:eastAsia="宋体" w:cs="Times New Roman"/>
                <w:color w:val="000000"/>
                <w:sz w:val="21"/>
                <w:szCs w:val="21"/>
                <w:lang w:eastAsia="zh-CN" w:bidi="ar"/>
              </w:rPr>
              <w:t>-</w:t>
            </w:r>
            <w:r>
              <w:rPr>
                <w:rFonts w:hint="eastAsia" w:ascii="Times New Roman" w:hAnsi="Times New Roman" w:eastAsia="宋体" w:cs="Times New Roman"/>
                <w:color w:val="000000"/>
                <w:sz w:val="21"/>
                <w:szCs w:val="21"/>
                <w:lang w:eastAsia="zh-CN" w:bidi="ar"/>
              </w:rPr>
              <w:t>9:00</w:t>
            </w:r>
          </w:p>
        </w:tc>
        <w:tc>
          <w:tcPr>
            <w:tcW w:w="584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sz w:val="21"/>
                <w:szCs w:val="21"/>
                <w:lang w:eastAsia="zh-CN" w:bidi="ar"/>
              </w:rPr>
            </w:pPr>
            <w:r>
              <w:rPr>
                <w:rFonts w:hint="eastAsia" w:ascii="Times New Roman" w:hAnsi="Times New Roman" w:eastAsia="宋体" w:cs="Times New Roman"/>
                <w:b/>
                <w:bCs/>
                <w:color w:val="000000"/>
                <w:sz w:val="21"/>
                <w:szCs w:val="21"/>
                <w:lang w:eastAsia="zh-CN" w:bidi="ar"/>
              </w:rPr>
              <w:t>开幕式</w:t>
            </w:r>
          </w:p>
        </w:tc>
        <w:tc>
          <w:tcPr>
            <w:tcW w:w="997"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sz w:val="21"/>
                <w:szCs w:val="21"/>
                <w:lang w:eastAsia="zh-CN" w:bidi="ar"/>
              </w:rPr>
            </w:pPr>
            <w:r>
              <w:rPr>
                <w:rFonts w:ascii="Times New Roman" w:hAnsi="Times New Roman" w:eastAsia="宋体" w:cs="Times New Roman"/>
                <w:color w:val="000000"/>
                <w:sz w:val="21"/>
                <w:szCs w:val="21"/>
                <w:lang w:eastAsia="zh-CN" w:bidi="ar"/>
              </w:rPr>
              <w:t>文B</w:t>
            </w:r>
            <w:r>
              <w:rPr>
                <w:rFonts w:hint="eastAsia" w:ascii="Times New Roman" w:hAnsi="Times New Roman" w:eastAsia="宋体" w:cs="Times New Roman"/>
                <w:color w:val="000000"/>
                <w:sz w:val="21"/>
                <w:szCs w:val="21"/>
                <w:lang w:eastAsia="zh-CN" w:bidi="ar"/>
              </w:rPr>
              <w:t>508</w:t>
            </w:r>
          </w:p>
        </w:tc>
      </w:tr>
      <w:tr>
        <w:tblPrEx>
          <w:tblCellMar>
            <w:top w:w="0" w:type="dxa"/>
            <w:left w:w="108" w:type="dxa"/>
            <w:bottom w:w="0" w:type="dxa"/>
            <w:right w:w="108" w:type="dxa"/>
          </w:tblCellMar>
        </w:tblPrEx>
        <w:trPr>
          <w:trHeight w:val="1154" w:hRule="atLeast"/>
          <w:jc w:val="center"/>
        </w:trPr>
        <w:tc>
          <w:tcPr>
            <w:tcW w:w="1127" w:type="dxa"/>
            <w:vMerge w:val="continue"/>
            <w:tcBorders>
              <w:left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p>
        </w:tc>
        <w:tc>
          <w:tcPr>
            <w:tcW w:w="1306" w:type="dxa"/>
            <w:vMerge w:val="continue"/>
            <w:tcBorders>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p>
        </w:tc>
        <w:tc>
          <w:tcPr>
            <w:tcW w:w="584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both"/>
              <w:rPr>
                <w:rFonts w:ascii="Times New Roman" w:hAnsi="Times New Roman" w:eastAsia="宋体" w:cs="Times New Roman"/>
                <w:b/>
                <w:bCs/>
                <w:color w:val="000000"/>
                <w:kern w:val="2"/>
                <w:sz w:val="21"/>
                <w:szCs w:val="21"/>
                <w:lang w:eastAsia="zh-CN"/>
              </w:rPr>
            </w:pPr>
            <w:r>
              <w:rPr>
                <w:rFonts w:hint="eastAsia" w:ascii="Times New Roman" w:hAnsi="Times New Roman" w:eastAsia="宋体" w:cs="Times New Roman"/>
                <w:b/>
                <w:bCs/>
                <w:color w:val="000000"/>
                <w:kern w:val="2"/>
                <w:sz w:val="21"/>
                <w:szCs w:val="21"/>
                <w:lang w:eastAsia="zh-CN"/>
              </w:rPr>
              <w:t>主持人：祖大庆 外文学院副院长 教授</w:t>
            </w:r>
          </w:p>
          <w:p>
            <w:pPr>
              <w:spacing w:line="480" w:lineRule="auto"/>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徐 剑    院长致辞</w:t>
            </w:r>
          </w:p>
        </w:tc>
        <w:tc>
          <w:tcPr>
            <w:tcW w:w="997" w:type="dxa"/>
            <w:vMerge w:val="continue"/>
            <w:tcBorders>
              <w:left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sz w:val="21"/>
                <w:szCs w:val="21"/>
                <w:lang w:eastAsia="zh-CN" w:bidi="ar"/>
              </w:rPr>
            </w:pPr>
          </w:p>
        </w:tc>
      </w:tr>
      <w:tr>
        <w:tblPrEx>
          <w:tblCellMar>
            <w:top w:w="0" w:type="dxa"/>
            <w:left w:w="108" w:type="dxa"/>
            <w:bottom w:w="0" w:type="dxa"/>
            <w:right w:w="108" w:type="dxa"/>
          </w:tblCellMar>
        </w:tblPrEx>
        <w:trPr>
          <w:trHeight w:val="694"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0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auto"/>
              <w:jc w:val="center"/>
              <w:textAlignment w:val="center"/>
              <w:rPr>
                <w:rFonts w:ascii="宋体" w:hAnsi="宋体" w:eastAsia="宋体" w:cs="宋体"/>
                <w:b/>
                <w:bCs/>
                <w:color w:val="000000"/>
                <w:kern w:val="2"/>
                <w:sz w:val="21"/>
                <w:szCs w:val="21"/>
                <w:lang w:eastAsia="zh-CN" w:bidi="ar"/>
              </w:rPr>
            </w:pPr>
            <w:r>
              <w:rPr>
                <w:rFonts w:ascii="宋体" w:hAnsi="宋体" w:eastAsia="宋体" w:cs="宋体"/>
                <w:b/>
                <w:bCs/>
                <w:color w:val="000000"/>
                <w:kern w:val="2"/>
                <w:sz w:val="21"/>
                <w:szCs w:val="21"/>
                <w:lang w:eastAsia="zh-CN" w:bidi="ar"/>
              </w:rPr>
              <w:t>主旨报告</w:t>
            </w:r>
          </w:p>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b/>
                <w:bCs/>
                <w:color w:val="000000"/>
                <w:kern w:val="2"/>
                <w:sz w:val="21"/>
                <w:szCs w:val="21"/>
                <w:lang w:eastAsia="zh-CN" w:bidi="ar"/>
              </w:rPr>
              <w:t>上半场</w:t>
            </w: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color w:val="000000"/>
                <w:kern w:val="2"/>
                <w:sz w:val="21"/>
                <w:szCs w:val="21"/>
                <w:lang w:eastAsia="zh-CN" w:bidi="ar"/>
              </w:rPr>
              <w:t>主讲嘉宾</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color w:val="000000"/>
                <w:kern w:val="2"/>
                <w:sz w:val="21"/>
                <w:szCs w:val="21"/>
                <w:lang w:eastAsia="zh-CN" w:bidi="ar"/>
              </w:rPr>
              <w:t>主持人</w:t>
            </w:r>
          </w:p>
        </w:tc>
        <w:tc>
          <w:tcPr>
            <w:tcW w:w="99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r>
      <w:tr>
        <w:tblPrEx>
          <w:tblCellMar>
            <w:top w:w="0" w:type="dxa"/>
            <w:left w:w="108" w:type="dxa"/>
            <w:bottom w:w="0" w:type="dxa"/>
            <w:right w:w="108" w:type="dxa"/>
          </w:tblCellMar>
        </w:tblPrEx>
        <w:trPr>
          <w:trHeight w:val="704"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9</w:t>
            </w:r>
            <w:r>
              <w:rPr>
                <w:rFonts w:ascii="Times New Roman" w:hAnsi="Times New Roman" w:eastAsia="宋体" w:cs="Times New Roman"/>
                <w:color w:val="000000"/>
                <w:kern w:val="2"/>
                <w:sz w:val="21"/>
                <w:szCs w:val="21"/>
                <w:lang w:eastAsia="zh-CN"/>
              </w:rPr>
              <w:t>:</w:t>
            </w:r>
            <w:r>
              <w:rPr>
                <w:rFonts w:hint="eastAsia" w:ascii="Times New Roman" w:hAnsi="Times New Roman" w:eastAsia="宋体" w:cs="Times New Roman"/>
                <w:color w:val="000000"/>
                <w:kern w:val="2"/>
                <w:sz w:val="21"/>
                <w:szCs w:val="21"/>
                <w:lang w:eastAsia="zh-CN"/>
              </w:rPr>
              <w:t>00</w:t>
            </w:r>
            <w:r>
              <w:rPr>
                <w:rFonts w:ascii="Times New Roman" w:hAnsi="Times New Roman" w:eastAsia="宋体" w:cs="Times New Roman"/>
                <w:color w:val="000000"/>
                <w:kern w:val="2"/>
                <w:sz w:val="21"/>
                <w:szCs w:val="21"/>
                <w:lang w:eastAsia="zh-CN"/>
              </w:rPr>
              <w:t>-9:</w:t>
            </w:r>
            <w:r>
              <w:rPr>
                <w:rFonts w:hint="eastAsia" w:ascii="Times New Roman" w:hAnsi="Times New Roman" w:eastAsia="宋体" w:cs="Times New Roman"/>
                <w:color w:val="000000"/>
                <w:kern w:val="2"/>
                <w:sz w:val="21"/>
                <w:szCs w:val="21"/>
                <w:lang w:eastAsia="zh-CN"/>
              </w:rPr>
              <w:t>40</w:t>
            </w:r>
          </w:p>
        </w:tc>
        <w:tc>
          <w:tcPr>
            <w:tcW w:w="10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陈兵教授</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祖大庆教授</w:t>
            </w:r>
          </w:p>
        </w:tc>
        <w:tc>
          <w:tcPr>
            <w:tcW w:w="99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r>
      <w:tr>
        <w:tblPrEx>
          <w:tblCellMar>
            <w:top w:w="0" w:type="dxa"/>
            <w:left w:w="108" w:type="dxa"/>
            <w:bottom w:w="0" w:type="dxa"/>
            <w:right w:w="108" w:type="dxa"/>
          </w:tblCellMar>
        </w:tblPrEx>
        <w:trPr>
          <w:trHeight w:val="686"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Times New Roman" w:hAnsi="Times New Roman" w:eastAsia="宋体" w:cs="Times New Roman"/>
                <w:color w:val="000000"/>
                <w:kern w:val="2"/>
                <w:sz w:val="21"/>
                <w:szCs w:val="21"/>
                <w:lang w:eastAsia="zh-CN"/>
              </w:rPr>
              <w:t>9:</w:t>
            </w:r>
            <w:r>
              <w:rPr>
                <w:rFonts w:hint="eastAsia" w:ascii="Times New Roman" w:hAnsi="Times New Roman" w:eastAsia="宋体" w:cs="Times New Roman"/>
                <w:color w:val="000000"/>
                <w:kern w:val="2"/>
                <w:sz w:val="21"/>
                <w:szCs w:val="21"/>
                <w:lang w:eastAsia="zh-CN"/>
              </w:rPr>
              <w:t>40</w:t>
            </w:r>
            <w:r>
              <w:rPr>
                <w:rFonts w:ascii="Times New Roman" w:hAnsi="Times New Roman" w:eastAsia="宋体" w:cs="Times New Roman"/>
                <w:color w:val="000000"/>
                <w:kern w:val="2"/>
                <w:sz w:val="21"/>
                <w:szCs w:val="21"/>
                <w:lang w:eastAsia="zh-CN"/>
              </w:rPr>
              <w:t>-</w:t>
            </w:r>
            <w:r>
              <w:rPr>
                <w:rFonts w:hint="eastAsia" w:ascii="Times New Roman" w:hAnsi="Times New Roman" w:eastAsia="宋体" w:cs="Times New Roman"/>
                <w:color w:val="000000"/>
                <w:kern w:val="2"/>
                <w:sz w:val="21"/>
                <w:szCs w:val="21"/>
                <w:lang w:eastAsia="zh-CN"/>
              </w:rPr>
              <w:t>10</w:t>
            </w:r>
            <w:r>
              <w:rPr>
                <w:rFonts w:ascii="Times New Roman" w:hAnsi="Times New Roman" w:eastAsia="宋体" w:cs="Times New Roman"/>
                <w:color w:val="000000"/>
                <w:kern w:val="2"/>
                <w:sz w:val="21"/>
                <w:szCs w:val="21"/>
                <w:lang w:eastAsia="zh-CN"/>
              </w:rPr>
              <w:t>:</w:t>
            </w:r>
            <w:r>
              <w:rPr>
                <w:rFonts w:hint="eastAsia" w:ascii="Times New Roman" w:hAnsi="Times New Roman" w:eastAsia="宋体" w:cs="Times New Roman"/>
                <w:color w:val="000000"/>
                <w:kern w:val="2"/>
                <w:sz w:val="21"/>
                <w:szCs w:val="21"/>
                <w:lang w:eastAsia="zh-CN"/>
              </w:rPr>
              <w:t>20</w:t>
            </w:r>
          </w:p>
        </w:tc>
        <w:tc>
          <w:tcPr>
            <w:tcW w:w="10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张晴副教授</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乌兰</w:t>
            </w:r>
          </w:p>
        </w:tc>
        <w:tc>
          <w:tcPr>
            <w:tcW w:w="997" w:type="dxa"/>
            <w:vMerge w:val="continue"/>
            <w:tcBorders>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r>
      <w:tr>
        <w:tblPrEx>
          <w:tblCellMar>
            <w:top w:w="0" w:type="dxa"/>
            <w:left w:w="108" w:type="dxa"/>
            <w:bottom w:w="0" w:type="dxa"/>
            <w:right w:w="108" w:type="dxa"/>
          </w:tblCellMar>
        </w:tblPrEx>
        <w:trPr>
          <w:trHeight w:val="419"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10</w:t>
            </w:r>
            <w:r>
              <w:rPr>
                <w:rFonts w:ascii="Times New Roman" w:hAnsi="Times New Roman" w:eastAsia="宋体" w:cs="Times New Roman"/>
                <w:color w:val="000000"/>
                <w:kern w:val="2"/>
                <w:sz w:val="21"/>
                <w:szCs w:val="21"/>
                <w:lang w:eastAsia="zh-CN"/>
              </w:rPr>
              <w:t>:</w:t>
            </w:r>
            <w:r>
              <w:rPr>
                <w:rFonts w:hint="eastAsia" w:ascii="Times New Roman" w:hAnsi="Times New Roman" w:eastAsia="宋体" w:cs="Times New Roman"/>
                <w:color w:val="000000"/>
                <w:kern w:val="2"/>
                <w:sz w:val="21"/>
                <w:szCs w:val="21"/>
                <w:lang w:eastAsia="zh-CN"/>
              </w:rPr>
              <w:t>2</w:t>
            </w:r>
            <w:r>
              <w:rPr>
                <w:rFonts w:ascii="Times New Roman" w:hAnsi="Times New Roman" w:eastAsia="宋体" w:cs="Times New Roman"/>
                <w:color w:val="000000"/>
                <w:kern w:val="2"/>
                <w:sz w:val="21"/>
                <w:szCs w:val="21"/>
                <w:lang w:eastAsia="zh-CN"/>
              </w:rPr>
              <w:t>0-10:</w:t>
            </w:r>
            <w:r>
              <w:rPr>
                <w:rFonts w:hint="eastAsia" w:ascii="Times New Roman" w:hAnsi="Times New Roman" w:eastAsia="宋体" w:cs="Times New Roman"/>
                <w:color w:val="000000"/>
                <w:kern w:val="2"/>
                <w:sz w:val="21"/>
                <w:szCs w:val="21"/>
                <w:lang w:eastAsia="zh-CN"/>
              </w:rPr>
              <w:t>3</w:t>
            </w:r>
            <w:r>
              <w:rPr>
                <w:rFonts w:ascii="Times New Roman" w:hAnsi="Times New Roman" w:eastAsia="宋体" w:cs="Times New Roman"/>
                <w:color w:val="000000"/>
                <w:kern w:val="2"/>
                <w:sz w:val="21"/>
                <w:szCs w:val="21"/>
                <w:lang w:eastAsia="zh-CN"/>
              </w:rPr>
              <w:t>0</w:t>
            </w:r>
          </w:p>
        </w:tc>
        <w:tc>
          <w:tcPr>
            <w:tcW w:w="584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hint="eastAsia" w:ascii="宋体" w:hAnsi="宋体" w:eastAsia="宋体" w:cs="宋体"/>
                <w:color w:val="000000"/>
                <w:kern w:val="2"/>
                <w:sz w:val="21"/>
                <w:szCs w:val="21"/>
                <w:lang w:eastAsia="zh-CN" w:bidi="ar"/>
              </w:rPr>
              <w:t>茶歇</w:t>
            </w:r>
          </w:p>
        </w:tc>
        <w:tc>
          <w:tcPr>
            <w:tcW w:w="99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文B521</w:t>
            </w:r>
          </w:p>
        </w:tc>
      </w:tr>
      <w:tr>
        <w:tblPrEx>
          <w:tblCellMar>
            <w:top w:w="0" w:type="dxa"/>
            <w:left w:w="108" w:type="dxa"/>
            <w:bottom w:w="0" w:type="dxa"/>
            <w:right w:w="108" w:type="dxa"/>
          </w:tblCellMar>
        </w:tblPrEx>
        <w:trPr>
          <w:trHeight w:val="847"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Times New Roman" w:hAnsi="Times New Roman" w:eastAsia="宋体" w:cs="Times New Roman"/>
                <w:color w:val="000000"/>
                <w:kern w:val="2"/>
                <w:sz w:val="21"/>
                <w:szCs w:val="21"/>
                <w:lang w:eastAsia="zh-CN"/>
              </w:rPr>
              <w:t>10:</w:t>
            </w:r>
            <w:r>
              <w:rPr>
                <w:rFonts w:hint="eastAsia" w:ascii="Times New Roman" w:hAnsi="Times New Roman" w:eastAsia="宋体" w:cs="Times New Roman"/>
                <w:color w:val="000000"/>
                <w:kern w:val="2"/>
                <w:sz w:val="21"/>
                <w:szCs w:val="21"/>
                <w:lang w:eastAsia="zh-CN"/>
              </w:rPr>
              <w:t>3</w:t>
            </w:r>
            <w:r>
              <w:rPr>
                <w:rFonts w:ascii="Times New Roman" w:hAnsi="Times New Roman" w:eastAsia="宋体" w:cs="Times New Roman"/>
                <w:color w:val="000000"/>
                <w:kern w:val="2"/>
                <w:sz w:val="21"/>
                <w:szCs w:val="21"/>
                <w:lang w:eastAsia="zh-CN"/>
              </w:rPr>
              <w:t>0-1</w:t>
            </w:r>
            <w:r>
              <w:rPr>
                <w:rFonts w:hint="eastAsia" w:ascii="Times New Roman" w:hAnsi="Times New Roman" w:eastAsia="宋体" w:cs="Times New Roman"/>
                <w:color w:val="000000"/>
                <w:kern w:val="2"/>
                <w:sz w:val="21"/>
                <w:szCs w:val="21"/>
                <w:lang w:eastAsia="zh-CN"/>
              </w:rPr>
              <w:t>1</w:t>
            </w:r>
            <w:r>
              <w:rPr>
                <w:rFonts w:ascii="Times New Roman" w:hAnsi="Times New Roman" w:eastAsia="宋体" w:cs="Times New Roman"/>
                <w:color w:val="000000"/>
                <w:kern w:val="2"/>
                <w:sz w:val="21"/>
                <w:szCs w:val="21"/>
                <w:lang w:eastAsia="zh-CN"/>
              </w:rPr>
              <w:t>:</w:t>
            </w:r>
            <w:r>
              <w:rPr>
                <w:rFonts w:hint="eastAsia" w:ascii="Times New Roman" w:hAnsi="Times New Roman" w:eastAsia="宋体" w:cs="Times New Roman"/>
                <w:color w:val="000000"/>
                <w:kern w:val="2"/>
                <w:sz w:val="21"/>
                <w:szCs w:val="21"/>
                <w:lang w:eastAsia="zh-CN"/>
              </w:rPr>
              <w:t>1</w:t>
            </w:r>
            <w:r>
              <w:rPr>
                <w:rFonts w:ascii="Times New Roman" w:hAnsi="Times New Roman" w:eastAsia="宋体" w:cs="Times New Roman"/>
                <w:color w:val="000000"/>
                <w:kern w:val="2"/>
                <w:sz w:val="21"/>
                <w:szCs w:val="21"/>
                <w:lang w:eastAsia="zh-CN"/>
              </w:rPr>
              <w:t>0</w:t>
            </w:r>
          </w:p>
        </w:tc>
        <w:tc>
          <w:tcPr>
            <w:tcW w:w="10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auto"/>
              <w:jc w:val="center"/>
              <w:textAlignment w:val="center"/>
              <w:rPr>
                <w:rFonts w:ascii="宋体" w:hAnsi="宋体" w:eastAsia="宋体" w:cs="宋体"/>
                <w:b/>
                <w:bCs/>
                <w:color w:val="000000"/>
                <w:kern w:val="2"/>
                <w:sz w:val="21"/>
                <w:szCs w:val="21"/>
                <w:lang w:eastAsia="zh-CN" w:bidi="ar"/>
              </w:rPr>
            </w:pPr>
            <w:r>
              <w:rPr>
                <w:rFonts w:ascii="宋体" w:hAnsi="宋体" w:eastAsia="宋体" w:cs="宋体"/>
                <w:b/>
                <w:bCs/>
                <w:color w:val="000000"/>
                <w:kern w:val="2"/>
                <w:sz w:val="21"/>
                <w:szCs w:val="21"/>
                <w:lang w:eastAsia="zh-CN" w:bidi="ar"/>
              </w:rPr>
              <w:t>主旨报告</w:t>
            </w:r>
          </w:p>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b/>
                <w:bCs/>
                <w:color w:val="000000"/>
                <w:kern w:val="2"/>
                <w:sz w:val="21"/>
                <w:szCs w:val="21"/>
                <w:lang w:eastAsia="zh-CN" w:bidi="ar"/>
              </w:rPr>
              <w:t>下半场</w:t>
            </w: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李廉副教授</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乌兰</w:t>
            </w:r>
          </w:p>
        </w:tc>
        <w:tc>
          <w:tcPr>
            <w:tcW w:w="997" w:type="dxa"/>
            <w:tcBorders>
              <w:top w:val="single" w:color="auto" w:sz="4" w:space="0"/>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ascii="Times New Roman" w:hAnsi="Times New Roman" w:eastAsia="宋体" w:cs="Times New Roman"/>
                <w:color w:val="000000"/>
                <w:sz w:val="21"/>
                <w:szCs w:val="21"/>
                <w:lang w:eastAsia="zh-CN" w:bidi="ar"/>
              </w:rPr>
              <w:t>文B</w:t>
            </w:r>
            <w:r>
              <w:rPr>
                <w:rFonts w:hint="eastAsia" w:ascii="Times New Roman" w:hAnsi="Times New Roman" w:eastAsia="宋体" w:cs="Times New Roman"/>
                <w:color w:val="000000"/>
                <w:sz w:val="21"/>
                <w:szCs w:val="21"/>
                <w:lang w:eastAsia="zh-CN" w:bidi="ar"/>
              </w:rPr>
              <w:t>508</w:t>
            </w:r>
          </w:p>
        </w:tc>
      </w:tr>
      <w:tr>
        <w:tblPrEx>
          <w:tblCellMar>
            <w:top w:w="0" w:type="dxa"/>
            <w:left w:w="108" w:type="dxa"/>
            <w:bottom w:w="0" w:type="dxa"/>
            <w:right w:w="108" w:type="dxa"/>
          </w:tblCellMar>
        </w:tblPrEx>
        <w:trPr>
          <w:trHeight w:val="329"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Times New Roman" w:hAnsi="Times New Roman" w:eastAsia="宋体" w:cs="Times New Roman"/>
                <w:color w:val="000000"/>
                <w:sz w:val="21"/>
                <w:szCs w:val="21"/>
                <w:lang w:eastAsia="zh-CN" w:bidi="ar"/>
              </w:rPr>
              <w:t>11:30-13:45</w:t>
            </w:r>
          </w:p>
        </w:tc>
        <w:tc>
          <w:tcPr>
            <w:tcW w:w="684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宋体" w:hAnsi="宋体" w:eastAsia="宋体" w:cs="宋体"/>
                <w:color w:val="000000"/>
                <w:kern w:val="2"/>
                <w:sz w:val="21"/>
                <w:szCs w:val="21"/>
                <w:lang w:eastAsia="zh-CN" w:bidi="ar"/>
              </w:rPr>
              <w:t>休息</w:t>
            </w:r>
          </w:p>
        </w:tc>
      </w:tr>
      <w:tr>
        <w:tblPrEx>
          <w:tblCellMar>
            <w:top w:w="0" w:type="dxa"/>
            <w:left w:w="108" w:type="dxa"/>
            <w:bottom w:w="0" w:type="dxa"/>
            <w:right w:w="108" w:type="dxa"/>
          </w:tblCellMar>
        </w:tblPrEx>
        <w:trPr>
          <w:trHeight w:val="90"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Times New Roman" w:hAnsi="Times New Roman" w:eastAsia="宋体" w:cs="Times New Roman"/>
                <w:color w:val="000000"/>
                <w:sz w:val="21"/>
                <w:szCs w:val="21"/>
                <w:lang w:eastAsia="zh-CN" w:bidi="ar"/>
              </w:rPr>
              <w:t>14:00-16:00</w:t>
            </w:r>
          </w:p>
        </w:tc>
        <w:tc>
          <w:tcPr>
            <w:tcW w:w="10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Times New Roman" w:hAnsi="Times New Roman" w:eastAsia="宋体" w:cs="Times New Roman"/>
                <w:b/>
                <w:bCs/>
                <w:color w:val="000000"/>
                <w:sz w:val="21"/>
                <w:szCs w:val="21"/>
                <w:lang w:eastAsia="zh-CN" w:bidi="ar"/>
              </w:rPr>
              <w:t>分组讨论</w:t>
            </w: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hint="eastAsia" w:ascii="宋体" w:hAnsi="宋体" w:eastAsia="宋体" w:cs="宋体"/>
                <w:color w:val="000000"/>
                <w:kern w:val="2"/>
                <w:sz w:val="21"/>
                <w:szCs w:val="21"/>
                <w:lang w:eastAsia="zh-CN" w:bidi="ar"/>
              </w:rPr>
              <w:t>外国语言学及应用</w:t>
            </w:r>
            <w:r>
              <w:rPr>
                <w:rFonts w:ascii="宋体" w:hAnsi="宋体" w:eastAsia="宋体" w:cs="宋体"/>
                <w:color w:val="000000"/>
                <w:kern w:val="2"/>
                <w:sz w:val="21"/>
                <w:szCs w:val="21"/>
                <w:lang w:eastAsia="zh-CN" w:bidi="ar"/>
              </w:rPr>
              <w:t>语言学组</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color w:val="000000"/>
                <w:kern w:val="2"/>
                <w:sz w:val="21"/>
                <w:szCs w:val="21"/>
                <w:lang w:eastAsia="zh-CN" w:bidi="ar"/>
              </w:rPr>
              <w:t>点评专家</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文B</w:t>
            </w:r>
            <w:r>
              <w:rPr>
                <w:rFonts w:ascii="Times New Roman" w:hAnsi="Times New Roman" w:eastAsia="宋体" w:cs="Times New Roman"/>
                <w:color w:val="000000"/>
                <w:kern w:val="2"/>
                <w:sz w:val="21"/>
                <w:szCs w:val="21"/>
                <w:lang w:eastAsia="zh-CN"/>
              </w:rPr>
              <w:t>30</w:t>
            </w:r>
            <w:r>
              <w:rPr>
                <w:rFonts w:hint="eastAsia" w:ascii="Times New Roman" w:hAnsi="Times New Roman" w:eastAsia="宋体" w:cs="Times New Roman"/>
                <w:color w:val="000000"/>
                <w:kern w:val="2"/>
                <w:sz w:val="21"/>
                <w:szCs w:val="21"/>
                <w:lang w:eastAsia="zh-CN"/>
              </w:rPr>
              <w:t>9</w:t>
            </w:r>
          </w:p>
        </w:tc>
      </w:tr>
      <w:tr>
        <w:tblPrEx>
          <w:tblCellMar>
            <w:top w:w="0" w:type="dxa"/>
            <w:left w:w="108" w:type="dxa"/>
            <w:bottom w:w="0" w:type="dxa"/>
            <w:right w:w="108" w:type="dxa"/>
          </w:tblCellMar>
        </w:tblPrEx>
        <w:trPr>
          <w:trHeight w:val="90"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赵红艳、陈曦</w:t>
            </w:r>
          </w:p>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魏毓伟、郭思婕</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黄莹教授</w:t>
            </w: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r>
      <w:tr>
        <w:tblPrEx>
          <w:tblCellMar>
            <w:top w:w="0" w:type="dxa"/>
            <w:left w:w="108" w:type="dxa"/>
            <w:bottom w:w="0" w:type="dxa"/>
            <w:right w:w="108" w:type="dxa"/>
          </w:tblCellMar>
        </w:tblPrEx>
        <w:trPr>
          <w:trHeight w:val="359"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color w:val="000000"/>
                <w:kern w:val="2"/>
                <w:sz w:val="21"/>
                <w:szCs w:val="21"/>
                <w:lang w:eastAsia="zh-CN" w:bidi="ar"/>
              </w:rPr>
              <w:t>文学</w:t>
            </w:r>
            <w:r>
              <w:rPr>
                <w:rFonts w:hint="eastAsia" w:ascii="宋体" w:hAnsi="宋体" w:eastAsia="宋体" w:cs="宋体"/>
                <w:color w:val="000000"/>
                <w:kern w:val="2"/>
                <w:sz w:val="21"/>
                <w:szCs w:val="21"/>
                <w:lang w:eastAsia="zh-CN" w:bidi="ar"/>
              </w:rPr>
              <w:t>与比较文学</w:t>
            </w:r>
            <w:r>
              <w:rPr>
                <w:rFonts w:ascii="宋体" w:hAnsi="宋体" w:eastAsia="宋体" w:cs="宋体"/>
                <w:color w:val="000000"/>
                <w:kern w:val="2"/>
                <w:sz w:val="21"/>
                <w:szCs w:val="21"/>
                <w:lang w:eastAsia="zh-CN" w:bidi="ar"/>
              </w:rPr>
              <w:t>组</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color w:val="000000"/>
                <w:kern w:val="2"/>
                <w:sz w:val="21"/>
                <w:szCs w:val="21"/>
                <w:lang w:eastAsia="zh-CN" w:bidi="ar"/>
              </w:rPr>
              <w:t>点评专家</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文B</w:t>
            </w:r>
            <w:r>
              <w:rPr>
                <w:rFonts w:ascii="Times New Roman" w:hAnsi="Times New Roman" w:eastAsia="宋体" w:cs="Times New Roman"/>
                <w:color w:val="000000"/>
                <w:kern w:val="2"/>
                <w:sz w:val="21"/>
                <w:szCs w:val="21"/>
                <w:lang w:eastAsia="zh-CN"/>
              </w:rPr>
              <w:t>3</w:t>
            </w:r>
            <w:r>
              <w:rPr>
                <w:rFonts w:hint="eastAsia" w:ascii="Times New Roman" w:hAnsi="Times New Roman" w:eastAsia="宋体" w:cs="Times New Roman"/>
                <w:color w:val="000000"/>
                <w:kern w:val="2"/>
                <w:sz w:val="21"/>
                <w:szCs w:val="21"/>
                <w:lang w:eastAsia="zh-CN"/>
              </w:rPr>
              <w:t>11</w:t>
            </w:r>
          </w:p>
        </w:tc>
      </w:tr>
      <w:tr>
        <w:tblPrEx>
          <w:tblCellMar>
            <w:top w:w="0" w:type="dxa"/>
            <w:left w:w="108" w:type="dxa"/>
            <w:bottom w:w="0" w:type="dxa"/>
            <w:right w:w="108" w:type="dxa"/>
          </w:tblCellMar>
        </w:tblPrEx>
        <w:trPr>
          <w:trHeight w:val="1013"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张丹丹、刘静</w:t>
            </w:r>
            <w:r>
              <w:rPr>
                <w:rFonts w:hint="eastAsia" w:ascii="Times New Roman" w:hAnsi="Times New Roman" w:eastAsia="宋体" w:cs="Times New Roman"/>
                <w:color w:val="000000"/>
                <w:kern w:val="2"/>
                <w:sz w:val="21"/>
                <w:szCs w:val="21"/>
                <w:lang w:eastAsia="zh-CN"/>
              </w:rPr>
              <w:br w:type="textWrapping"/>
            </w:r>
            <w:r>
              <w:rPr>
                <w:rFonts w:hint="eastAsia" w:ascii="Times New Roman" w:hAnsi="Times New Roman" w:eastAsia="宋体" w:cs="Times New Roman"/>
                <w:color w:val="000000"/>
                <w:kern w:val="2"/>
                <w:sz w:val="21"/>
                <w:szCs w:val="21"/>
                <w:lang w:eastAsia="zh-CN"/>
              </w:rPr>
              <w:t>马玉、刘沛莹</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邢锋萍副教授</w:t>
            </w: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r>
      <w:tr>
        <w:tblPrEx>
          <w:tblCellMar>
            <w:top w:w="0" w:type="dxa"/>
            <w:left w:w="108" w:type="dxa"/>
            <w:bottom w:w="0" w:type="dxa"/>
            <w:right w:w="108" w:type="dxa"/>
          </w:tblCellMar>
        </w:tblPrEx>
        <w:trPr>
          <w:trHeight w:val="374" w:hRule="atLeast"/>
          <w:jc w:val="center"/>
        </w:trPr>
        <w:tc>
          <w:tcPr>
            <w:tcW w:w="1127" w:type="dxa"/>
            <w:vMerge w:val="continue"/>
            <w:tcBorders>
              <w:left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color w:val="000000"/>
                <w:kern w:val="2"/>
                <w:sz w:val="21"/>
                <w:szCs w:val="21"/>
                <w:lang w:eastAsia="zh-CN" w:bidi="ar"/>
              </w:rPr>
              <w:t>翻译</w:t>
            </w:r>
            <w:r>
              <w:rPr>
                <w:rFonts w:hint="eastAsia" w:ascii="宋体" w:hAnsi="宋体" w:eastAsia="宋体" w:cs="宋体"/>
                <w:color w:val="000000"/>
                <w:kern w:val="2"/>
                <w:sz w:val="21"/>
                <w:szCs w:val="21"/>
                <w:lang w:eastAsia="zh-CN" w:bidi="ar"/>
              </w:rPr>
              <w:t>学与笔译</w:t>
            </w:r>
            <w:r>
              <w:rPr>
                <w:rFonts w:ascii="宋体" w:hAnsi="宋体" w:eastAsia="宋体" w:cs="宋体"/>
                <w:color w:val="000000"/>
                <w:kern w:val="2"/>
                <w:sz w:val="21"/>
                <w:szCs w:val="21"/>
                <w:lang w:eastAsia="zh-CN" w:bidi="ar"/>
              </w:rPr>
              <w:t>组</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ascii="宋体" w:hAnsi="宋体" w:eastAsia="宋体" w:cs="宋体"/>
                <w:color w:val="000000"/>
                <w:kern w:val="2"/>
                <w:sz w:val="21"/>
                <w:szCs w:val="21"/>
                <w:lang w:eastAsia="zh-CN" w:bidi="ar"/>
              </w:rPr>
              <w:t>点评专家</w:t>
            </w:r>
          </w:p>
        </w:tc>
        <w:tc>
          <w:tcPr>
            <w:tcW w:w="99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文B</w:t>
            </w:r>
            <w:r>
              <w:rPr>
                <w:rFonts w:ascii="Times New Roman" w:hAnsi="Times New Roman" w:eastAsia="宋体" w:cs="Times New Roman"/>
                <w:color w:val="000000"/>
                <w:kern w:val="2"/>
                <w:sz w:val="21"/>
                <w:szCs w:val="21"/>
                <w:lang w:eastAsia="zh-CN"/>
              </w:rPr>
              <w:t>3</w:t>
            </w:r>
            <w:r>
              <w:rPr>
                <w:rFonts w:hint="eastAsia" w:ascii="Times New Roman" w:hAnsi="Times New Roman" w:eastAsia="宋体" w:cs="Times New Roman"/>
                <w:color w:val="000000"/>
                <w:kern w:val="2"/>
                <w:sz w:val="21"/>
                <w:szCs w:val="21"/>
                <w:lang w:eastAsia="zh-CN"/>
              </w:rPr>
              <w:t>12</w:t>
            </w:r>
          </w:p>
        </w:tc>
      </w:tr>
      <w:tr>
        <w:tblPrEx>
          <w:tblCellMar>
            <w:top w:w="0" w:type="dxa"/>
            <w:left w:w="108" w:type="dxa"/>
            <w:bottom w:w="0" w:type="dxa"/>
            <w:right w:w="108" w:type="dxa"/>
          </w:tblCellMar>
        </w:tblPrEx>
        <w:trPr>
          <w:trHeight w:val="90" w:hRule="atLeast"/>
          <w:jc w:val="center"/>
        </w:trPr>
        <w:tc>
          <w:tcPr>
            <w:tcW w:w="1127" w:type="dxa"/>
            <w:vMerge w:val="continue"/>
            <w:tcBorders>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30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10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c>
          <w:tcPr>
            <w:tcW w:w="3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陈一琦、魏慧蝶、武景</w:t>
            </w:r>
          </w:p>
          <w:p>
            <w:pPr>
              <w:spacing w:line="480" w:lineRule="auto"/>
              <w:jc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李若君、王雨桐、李晓彤</w:t>
            </w:r>
          </w:p>
        </w:tc>
        <w:tc>
          <w:tcPr>
            <w:tcW w:w="15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80" w:lineRule="auto"/>
              <w:jc w:val="center"/>
              <w:textAlignment w:val="center"/>
              <w:rPr>
                <w:rFonts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张立柱博士</w:t>
            </w:r>
          </w:p>
        </w:tc>
        <w:tc>
          <w:tcPr>
            <w:tcW w:w="9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80" w:lineRule="auto"/>
              <w:jc w:val="center"/>
              <w:rPr>
                <w:rFonts w:ascii="Times New Roman" w:hAnsi="Times New Roman" w:eastAsia="宋体" w:cs="Times New Roman"/>
                <w:color w:val="000000"/>
                <w:kern w:val="2"/>
                <w:sz w:val="21"/>
                <w:szCs w:val="21"/>
                <w:lang w:eastAsia="zh-CN"/>
              </w:rPr>
            </w:pPr>
          </w:p>
        </w:tc>
      </w:tr>
    </w:tbl>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pacing w:before="120" w:beforeLines="50" w:line="300" w:lineRule="auto"/>
        <w:jc w:val="both"/>
        <w:rPr>
          <w:rFonts w:ascii="Times New Roman" w:hAnsi="Times New Roman" w:eastAsia="华文仿宋" w:cs="Times New Roman"/>
          <w:bCs/>
          <w:sz w:val="28"/>
          <w:szCs w:val="28"/>
          <w:lang w:eastAsia="zh-CN"/>
        </w:rPr>
      </w:pPr>
      <w:r>
        <w:rPr>
          <w:rFonts w:hint="eastAsia" w:ascii="华文仿宋" w:hAnsi="华文仿宋" w:eastAsia="华文仿宋" w:cs="华文仿宋"/>
          <w:b/>
          <w:bCs/>
          <w:sz w:val="36"/>
          <w:szCs w:val="36"/>
          <w:lang w:eastAsia="zh-CN"/>
        </w:rPr>
        <w:t>大会发言专家简介、题目及摘要</w:t>
      </w:r>
    </w:p>
    <w:p>
      <w:pPr>
        <w:spacing w:line="365" w:lineRule="auto"/>
        <w:ind w:right="193" w:firstLine="641" w:firstLineChars="200"/>
        <w:jc w:val="both"/>
        <w:rPr>
          <w:rFonts w:ascii="Times New Roman" w:hAnsi="Times New Roman" w:eastAsia="华文仿宋" w:cs="Times New Roman"/>
          <w:bCs/>
          <w:sz w:val="28"/>
          <w:szCs w:val="28"/>
          <w:lang w:eastAsia="zh-CN"/>
        </w:rPr>
      </w:pPr>
      <w:r>
        <w:rPr>
          <w:rFonts w:hint="eastAsia" w:ascii="Times New Roman" w:hAnsi="Times New Roman" w:eastAsia="华文仿宋" w:cs="Times New Roman"/>
          <w:b/>
          <w:sz w:val="32"/>
          <w:szCs w:val="32"/>
          <w:lang w:eastAsia="zh-CN"/>
        </w:rPr>
        <w:drawing>
          <wp:anchor distT="0" distB="0" distL="114300" distR="114300" simplePos="0" relativeHeight="251660288" behindDoc="1" locked="0" layoutInCell="1" allowOverlap="1">
            <wp:simplePos x="0" y="0"/>
            <wp:positionH relativeFrom="column">
              <wp:posOffset>69215</wp:posOffset>
            </wp:positionH>
            <wp:positionV relativeFrom="paragraph">
              <wp:posOffset>31115</wp:posOffset>
            </wp:positionV>
            <wp:extent cx="1892935" cy="2736215"/>
            <wp:effectExtent l="0" t="0" r="0" b="6985"/>
            <wp:wrapTight wrapText="bothSides">
              <wp:wrapPolygon>
                <wp:start x="0" y="0"/>
                <wp:lineTo x="0" y="21505"/>
                <wp:lineTo x="21303" y="21505"/>
                <wp:lineTo x="21303" y="0"/>
                <wp:lineTo x="0" y="0"/>
              </wp:wrapPolygon>
            </wp:wrapTight>
            <wp:docPr id="8" name="图片 8" descr="1562d65ca78530cfe45ceeb43795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62d65ca78530cfe45ceeb437953c5"/>
                    <pic:cNvPicPr>
                      <a:picLocks noChangeAspect="1"/>
                    </pic:cNvPicPr>
                  </pic:nvPicPr>
                  <pic:blipFill>
                    <a:blip r:embed="rId8"/>
                    <a:stretch>
                      <a:fillRect/>
                    </a:stretch>
                  </pic:blipFill>
                  <pic:spPr>
                    <a:xfrm>
                      <a:off x="0" y="0"/>
                      <a:ext cx="1892935" cy="2736215"/>
                    </a:xfrm>
                    <a:prstGeom prst="rect">
                      <a:avLst/>
                    </a:prstGeom>
                  </pic:spPr>
                </pic:pic>
              </a:graphicData>
            </a:graphic>
          </wp:anchor>
        </w:drawing>
      </w:r>
      <w:r>
        <w:rPr>
          <w:rFonts w:hint="eastAsia" w:ascii="Times New Roman" w:hAnsi="Times New Roman" w:eastAsia="华文仿宋" w:cs="Times New Roman"/>
          <w:b/>
          <w:sz w:val="32"/>
          <w:szCs w:val="32"/>
          <w:lang w:eastAsia="zh-CN"/>
        </w:rPr>
        <w:t>陈兵</w:t>
      </w:r>
      <w:r>
        <w:rPr>
          <w:rFonts w:hint="eastAsia" w:ascii="Times New Roman" w:hAnsi="Times New Roman" w:eastAsia="华文仿宋" w:cs="Times New Roman"/>
          <w:bCs/>
          <w:sz w:val="28"/>
          <w:szCs w:val="28"/>
          <w:lang w:eastAsia="zh-CN"/>
        </w:rPr>
        <w:t>，南京大学外国语学院教授、副院长，博士生导师。主要研究英美文学，在《外国文学评论》、《外国文学研究》、《外国文学》、《国外文学》、《当代外国文学》等学术期刊上发表论文近50篇，出版专著2部，主持国家社科基金项目3项，江苏省社科基金重点项目1项，其他项目多项。担任中国外国文学学会英语文学研究分会常务理事、英国文学学会常务理事、中外语言文化比较学会文学教育研究专业委员会常务理事等。2012年被评为江苏省“青蓝工程”中青年学术带头人培养对象，2013年入选教育部“新世纪优秀人才支持计划”。</w:t>
      </w:r>
    </w:p>
    <w:p>
      <w:pPr>
        <w:spacing w:line="365" w:lineRule="auto"/>
        <w:ind w:right="193"/>
        <w:jc w:val="both"/>
        <w:rPr>
          <w:rFonts w:ascii="Times New Roman" w:hAnsi="Times New Roman" w:eastAsia="华文仿宋" w:cs="Times New Roman"/>
          <w:bCs/>
          <w:sz w:val="28"/>
          <w:szCs w:val="28"/>
          <w:lang w:eastAsia="zh-CN"/>
        </w:rPr>
      </w:pPr>
      <w:r>
        <w:rPr>
          <w:rFonts w:hint="eastAsia" w:ascii="Times New Roman" w:hAnsi="Times New Roman" w:eastAsia="华文仿宋" w:cs="Times New Roman"/>
          <w:b/>
          <w:sz w:val="28"/>
          <w:szCs w:val="28"/>
          <w:lang w:eastAsia="zh-CN"/>
        </w:rPr>
        <w:t>报告题目：</w:t>
      </w:r>
      <w:r>
        <w:rPr>
          <w:rFonts w:hint="eastAsia" w:ascii="Times New Roman" w:hAnsi="Times New Roman" w:eastAsia="华文仿宋" w:cs="Times New Roman"/>
          <w:bCs/>
          <w:sz w:val="28"/>
          <w:szCs w:val="28"/>
          <w:lang w:eastAsia="zh-CN"/>
        </w:rPr>
        <w:t>读书、问题意识与学术论文写作</w:t>
      </w:r>
    </w:p>
    <w:p>
      <w:pPr>
        <w:spacing w:line="365" w:lineRule="auto"/>
        <w:ind w:right="193"/>
        <w:jc w:val="both"/>
        <w:rPr>
          <w:rFonts w:ascii="Times New Roman" w:hAnsi="Times New Roman" w:eastAsia="华文仿宋" w:cs="Times New Roman"/>
          <w:b/>
          <w:sz w:val="28"/>
          <w:szCs w:val="28"/>
          <w:lang w:eastAsia="zh-CN"/>
        </w:rPr>
      </w:pPr>
      <w:r>
        <w:rPr>
          <w:rFonts w:hint="eastAsia" w:ascii="Times New Roman" w:hAnsi="Times New Roman" w:eastAsia="华文仿宋" w:cs="Times New Roman"/>
          <w:b/>
          <w:sz w:val="28"/>
          <w:szCs w:val="28"/>
          <w:lang w:eastAsia="zh-CN"/>
        </w:rPr>
        <w:t>摘要：</w:t>
      </w:r>
      <w:r>
        <w:rPr>
          <w:rFonts w:hint="eastAsia" w:ascii="Times New Roman" w:hAnsi="Times New Roman" w:eastAsia="华文仿宋" w:cs="Times New Roman"/>
          <w:bCs/>
          <w:sz w:val="28"/>
          <w:szCs w:val="28"/>
          <w:lang w:eastAsia="zh-CN"/>
        </w:rPr>
        <w:t>研究性学习要求读书注重精深而忌浮泛，特别是要培养问题意识。问题意识是科研创新的基础。研究者应从问题意识出发，基于自己的学术兴趣和知识结构，结合学术热点选取恰当的研究对象，确定选题进行学术论文的写作。论文写作注重学术前沿和新意，其中中心论点的提炼最为重要，论文的结构安排以及论证均服务于中心论点的展开和说明。</w:t>
      </w:r>
    </w:p>
    <w:p>
      <w:pPr>
        <w:spacing w:line="365" w:lineRule="auto"/>
        <w:ind w:right="193"/>
        <w:jc w:val="both"/>
        <w:rPr>
          <w:rFonts w:ascii="Times New Roman" w:hAnsi="Times New Roman" w:eastAsia="华文仿宋" w:cs="Times New Roman"/>
          <w:bCs/>
          <w:sz w:val="28"/>
          <w:szCs w:val="28"/>
          <w:lang w:eastAsia="zh-CN"/>
        </w:rPr>
      </w:pPr>
    </w:p>
    <w:p>
      <w:pPr>
        <w:spacing w:line="365" w:lineRule="auto"/>
        <w:ind w:right="193"/>
        <w:jc w:val="both"/>
        <w:rPr>
          <w:rFonts w:ascii="Times New Roman" w:hAnsi="Times New Roman" w:eastAsia="华文仿宋" w:cs="Times New Roman"/>
          <w:bCs/>
          <w:sz w:val="28"/>
          <w:szCs w:val="28"/>
          <w:lang w:eastAsia="zh-CN"/>
        </w:rPr>
      </w:pPr>
    </w:p>
    <w:p>
      <w:pPr>
        <w:spacing w:line="365" w:lineRule="auto"/>
        <w:ind w:right="193"/>
        <w:jc w:val="both"/>
        <w:rPr>
          <w:rFonts w:ascii="Times New Roman" w:hAnsi="Times New Roman" w:eastAsia="华文仿宋" w:cs="Times New Roman"/>
          <w:bCs/>
          <w:sz w:val="28"/>
          <w:szCs w:val="28"/>
          <w:lang w:eastAsia="zh-CN"/>
        </w:rPr>
      </w:pPr>
    </w:p>
    <w:p>
      <w:pPr>
        <w:spacing w:line="365" w:lineRule="auto"/>
        <w:ind w:right="193"/>
        <w:jc w:val="both"/>
        <w:rPr>
          <w:rFonts w:ascii="Times New Roman" w:hAnsi="Times New Roman" w:eastAsia="华文仿宋" w:cs="Times New Roman"/>
          <w:bCs/>
          <w:sz w:val="28"/>
          <w:szCs w:val="28"/>
          <w:lang w:eastAsia="zh-CN"/>
        </w:rPr>
        <w:sectPr>
          <w:footerReference r:id="rId5" w:type="default"/>
          <w:pgSz w:w="11910" w:h="16840"/>
          <w:pgMar w:top="1240" w:right="1660" w:bottom="1140" w:left="1680" w:header="935" w:footer="945" w:gutter="0"/>
          <w:pgNumType w:start="1"/>
          <w:cols w:space="720" w:num="1"/>
        </w:sectPr>
      </w:pPr>
    </w:p>
    <w:p>
      <w:pPr>
        <w:widowControl/>
        <w:rPr>
          <w:rFonts w:ascii="华文仿宋" w:hAnsi="华文仿宋" w:eastAsia="华文仿宋" w:cs="华文仿宋"/>
          <w:b/>
          <w:bCs/>
          <w:sz w:val="36"/>
          <w:szCs w:val="36"/>
          <w:lang w:eastAsia="zh-CN"/>
        </w:rPr>
      </w:pPr>
      <w:r>
        <w:drawing>
          <wp:anchor distT="0" distB="0" distL="0" distR="0" simplePos="0" relativeHeight="251663360" behindDoc="0" locked="0" layoutInCell="1" allowOverlap="1">
            <wp:simplePos x="0" y="0"/>
            <wp:positionH relativeFrom="column">
              <wp:posOffset>59055</wp:posOffset>
            </wp:positionH>
            <wp:positionV relativeFrom="paragraph">
              <wp:posOffset>160655</wp:posOffset>
            </wp:positionV>
            <wp:extent cx="1325245" cy="1711960"/>
            <wp:effectExtent l="0" t="0" r="46355" b="5969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25245" cy="1711960"/>
                    </a:xfrm>
                    <a:prstGeom prst="rect">
                      <a:avLst/>
                    </a:prstGeom>
                    <a:noFill/>
                    <a:ln>
                      <a:noFill/>
                    </a:ln>
                  </pic:spPr>
                </pic:pic>
              </a:graphicData>
            </a:graphic>
          </wp:anchor>
        </w:drawing>
      </w:r>
    </w:p>
    <w:p>
      <w:pPr>
        <w:spacing w:line="365" w:lineRule="auto"/>
        <w:ind w:right="193" w:firstLine="641" w:firstLineChars="200"/>
        <w:jc w:val="both"/>
        <w:rPr>
          <w:rFonts w:ascii="Times New Roman" w:hAnsi="Times New Roman" w:eastAsia="华文仿宋" w:cs="Times New Roman"/>
          <w:bCs/>
          <w:sz w:val="28"/>
          <w:szCs w:val="28"/>
          <w:lang w:eastAsia="zh-CN"/>
        </w:rPr>
      </w:pPr>
      <w:r>
        <w:rPr>
          <w:rFonts w:hint="eastAsia" w:ascii="Times New Roman" w:hAnsi="Times New Roman" w:eastAsia="华文仿宋" w:cs="Times New Roman"/>
          <w:b/>
          <w:sz w:val="32"/>
          <w:szCs w:val="32"/>
          <w:lang w:eastAsia="zh-CN"/>
        </w:rPr>
        <w:t>张晴</w:t>
      </w:r>
      <w:r>
        <w:rPr>
          <w:rFonts w:hint="eastAsia" w:ascii="Times New Roman" w:hAnsi="Times New Roman" w:eastAsia="华文仿宋" w:cs="Times New Roman"/>
          <w:bCs/>
          <w:sz w:val="28"/>
          <w:szCs w:val="28"/>
          <w:lang w:eastAsia="zh-CN"/>
        </w:rPr>
        <w:t>，中国矿业大学外文学院副教授，2020级上海外国语大学英语语言文学专业博士生，研究方向为认知语言学与外语教育教学，曾在国内外SSCI，CSSCI等期刊上发表学术论文。</w:t>
      </w:r>
    </w:p>
    <w:p>
      <w:pPr>
        <w:spacing w:before="120" w:beforeLines="50" w:line="365" w:lineRule="auto"/>
        <w:ind w:right="193"/>
        <w:jc w:val="both"/>
        <w:rPr>
          <w:rFonts w:ascii="Times New Roman" w:hAnsi="Times New Roman" w:eastAsia="华文仿宋" w:cs="Times New Roman"/>
          <w:sz w:val="28"/>
          <w:szCs w:val="28"/>
          <w:lang w:eastAsia="zh-CN"/>
        </w:rPr>
      </w:pPr>
      <w:r>
        <w:rPr>
          <w:rFonts w:ascii="Times New Roman" w:hAnsi="Times New Roman" w:eastAsia="华文仿宋" w:cs="Times New Roman"/>
          <w:b/>
          <w:bCs/>
          <w:sz w:val="28"/>
          <w:szCs w:val="28"/>
          <w:lang w:eastAsia="zh-CN"/>
        </w:rPr>
        <w:t>报告题目</w:t>
      </w:r>
      <w:r>
        <w:rPr>
          <w:rFonts w:ascii="Times New Roman" w:hAnsi="Times New Roman" w:eastAsia="华文仿宋" w:cs="Times New Roman"/>
          <w:sz w:val="28"/>
          <w:szCs w:val="28"/>
          <w:lang w:eastAsia="zh-CN"/>
        </w:rPr>
        <w:t>：</w:t>
      </w:r>
      <w:r>
        <w:rPr>
          <w:rFonts w:hint="eastAsia" w:ascii="Times New Roman" w:hAnsi="Times New Roman" w:eastAsia="华文仿宋" w:cs="Times New Roman"/>
          <w:sz w:val="28"/>
          <w:szCs w:val="28"/>
          <w:lang w:eastAsia="zh-CN"/>
        </w:rPr>
        <w:t>体认语言学视域下“有被X到”构式的认知机制研究</w:t>
      </w:r>
    </w:p>
    <w:p>
      <w:pPr>
        <w:spacing w:before="120" w:beforeLines="50" w:line="365" w:lineRule="auto"/>
        <w:ind w:right="193"/>
        <w:jc w:val="both"/>
        <w:rPr>
          <w:rFonts w:ascii="Times New Roman" w:hAnsi="Times New Roman" w:eastAsia="华文仿宋" w:cs="Times New Roman"/>
          <w:sz w:val="28"/>
          <w:szCs w:val="28"/>
          <w:lang w:eastAsia="zh-CN"/>
        </w:rPr>
      </w:pPr>
      <w:r>
        <w:rPr>
          <w:rFonts w:ascii="Times New Roman" w:hAnsi="Times New Roman" w:eastAsia="华文仿宋" w:cs="Times New Roman"/>
          <w:b/>
          <w:bCs/>
          <w:sz w:val="28"/>
          <w:szCs w:val="28"/>
          <w:lang w:eastAsia="zh-CN"/>
        </w:rPr>
        <w:t>摘要</w:t>
      </w:r>
      <w:r>
        <w:rPr>
          <w:rFonts w:ascii="Times New Roman" w:hAnsi="Times New Roman" w:eastAsia="华文仿宋" w:cs="Times New Roman"/>
          <w:sz w:val="28"/>
          <w:szCs w:val="28"/>
          <w:lang w:eastAsia="zh-CN"/>
        </w:rPr>
        <w:t>：</w:t>
      </w:r>
      <w:r>
        <w:rPr>
          <w:rFonts w:hint="eastAsia" w:ascii="Times New Roman" w:hAnsi="Times New Roman" w:eastAsia="华文仿宋" w:cs="Times New Roman"/>
          <w:sz w:val="28"/>
          <w:szCs w:val="28"/>
          <w:lang w:eastAsia="zh-CN"/>
        </w:rPr>
        <w:t>本研究从体认语言学的“体验人本观”出发，运用语料库辅助的研究方法，考察近些年来新兴的“有被X到”构式，发现该类构式是由一定的修辞动因，对语法构式进行重塑的修辞构式，其认知机制主要依靠构式压制、词汇压制和转喻以及在特定认知语境中对相关概念的重新诠释，既是新型被“X”构式的传承和发展，也是对常规被字句的结构形式和语法意义的双重违反。</w:t>
      </w:r>
    </w:p>
    <w:p>
      <w:pPr>
        <w:spacing w:before="120" w:beforeLines="50" w:line="365" w:lineRule="auto"/>
        <w:ind w:right="193"/>
        <w:jc w:val="both"/>
        <w:rPr>
          <w:rFonts w:ascii="Times New Roman" w:hAnsi="Times New Roman" w:eastAsia="华文仿宋" w:cs="Times New Roman"/>
          <w:sz w:val="28"/>
          <w:szCs w:val="28"/>
          <w:lang w:eastAsia="zh-CN"/>
        </w:rPr>
      </w:pPr>
      <w:r>
        <w:rPr>
          <w:rFonts w:hint="eastAsia" w:ascii="Times New Roman" w:hAnsi="Times New Roman" w:eastAsia="华文仿宋" w:cs="Times New Roman"/>
          <w:b/>
          <w:bCs/>
          <w:sz w:val="28"/>
          <w:szCs w:val="28"/>
          <w:lang w:eastAsia="zh-CN"/>
        </w:rPr>
        <w:t>关键词：</w:t>
      </w:r>
      <w:r>
        <w:rPr>
          <w:rFonts w:hint="eastAsia" w:ascii="Times New Roman" w:hAnsi="Times New Roman" w:eastAsia="华文仿宋" w:cs="Times New Roman"/>
          <w:sz w:val="28"/>
          <w:szCs w:val="28"/>
          <w:lang w:eastAsia="zh-CN"/>
        </w:rPr>
        <w:t>体认语言学；语料库辅助法；“有被</w:t>
      </w:r>
      <w:r>
        <w:rPr>
          <w:rFonts w:ascii="Times New Roman" w:hAnsi="Times New Roman" w:eastAsia="华文仿宋" w:cs="Times New Roman"/>
          <w:sz w:val="28"/>
          <w:szCs w:val="28"/>
          <w:lang w:eastAsia="zh-CN"/>
        </w:rPr>
        <w:t>X</w:t>
      </w:r>
      <w:r>
        <w:rPr>
          <w:rFonts w:hint="eastAsia" w:ascii="Times New Roman" w:hAnsi="Times New Roman" w:eastAsia="华文仿宋" w:cs="Times New Roman"/>
          <w:sz w:val="28"/>
          <w:szCs w:val="28"/>
          <w:lang w:eastAsia="zh-CN"/>
        </w:rPr>
        <w:t>到”构式；修辞构式；认知机制</w:t>
      </w:r>
    </w:p>
    <w:p>
      <w:pPr>
        <w:widowControl/>
        <w:rPr>
          <w:rFonts w:ascii="华文仿宋" w:hAnsi="华文仿宋" w:eastAsia="华文仿宋" w:cs="华文仿宋"/>
          <w:b/>
          <w:bCs/>
          <w:sz w:val="36"/>
          <w:szCs w:val="36"/>
          <w:lang w:eastAsia="zh-CN"/>
        </w:rPr>
      </w:pPr>
      <w:r>
        <w:rPr>
          <w:rFonts w:ascii="华文仿宋" w:hAnsi="华文仿宋" w:eastAsia="华文仿宋" w:cs="华文仿宋"/>
          <w:b/>
          <w:bCs/>
          <w:sz w:val="36"/>
          <w:szCs w:val="36"/>
          <w:lang w:eastAsia="zh-CN"/>
        </w:rPr>
        <w:br w:type="page"/>
      </w:r>
    </w:p>
    <w:p>
      <w:pPr>
        <w:widowControl/>
        <w:rPr>
          <w:rFonts w:ascii="华文仿宋" w:hAnsi="华文仿宋" w:eastAsia="华文仿宋" w:cs="华文仿宋"/>
          <w:b/>
          <w:bCs/>
          <w:sz w:val="36"/>
          <w:szCs w:val="36"/>
          <w:lang w:eastAsia="zh-CN"/>
        </w:rPr>
      </w:pPr>
    </w:p>
    <w:p>
      <w:pPr>
        <w:spacing w:line="300" w:lineRule="auto"/>
        <w:ind w:firstLine="561" w:firstLineChars="200"/>
        <w:jc w:val="both"/>
        <w:rPr>
          <w:rFonts w:ascii="Times New Roman" w:hAnsi="Times New Roman" w:eastAsia="华文仿宋" w:cs="Times New Roman"/>
          <w:sz w:val="28"/>
          <w:szCs w:val="28"/>
          <w:lang w:eastAsia="zh-CN"/>
        </w:rPr>
      </w:pPr>
      <w:r>
        <w:rPr>
          <w:rFonts w:hint="eastAsia" w:ascii="Times New Roman" w:hAnsi="Times New Roman" w:eastAsia="华文仿宋" w:cs="Times New Roman"/>
          <w:b/>
          <w:sz w:val="28"/>
          <w:szCs w:val="28"/>
          <w:lang w:eastAsia="zh-CN"/>
        </w:rPr>
        <w:drawing>
          <wp:anchor distT="0" distB="0" distL="114300" distR="114300" simplePos="0" relativeHeight="251661312" behindDoc="1" locked="0" layoutInCell="1" allowOverlap="1">
            <wp:simplePos x="0" y="0"/>
            <wp:positionH relativeFrom="column">
              <wp:posOffset>72390</wp:posOffset>
            </wp:positionH>
            <wp:positionV relativeFrom="paragraph">
              <wp:posOffset>81915</wp:posOffset>
            </wp:positionV>
            <wp:extent cx="1264920" cy="1675765"/>
            <wp:effectExtent l="0" t="0" r="0" b="0"/>
            <wp:wrapTight wrapText="bothSides">
              <wp:wrapPolygon>
                <wp:start x="0" y="0"/>
                <wp:lineTo x="0" y="21363"/>
                <wp:lineTo x="21145" y="21363"/>
                <wp:lineTo x="21145" y="0"/>
                <wp:lineTo x="0" y="0"/>
              </wp:wrapPolygon>
            </wp:wrapTight>
            <wp:docPr id="10" name="图片 10" descr="161fc960d6d23e5e69c3d29d56ef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fc960d6d23e5e69c3d29d56ef0af"/>
                    <pic:cNvPicPr>
                      <a:picLocks noChangeAspect="1"/>
                    </pic:cNvPicPr>
                  </pic:nvPicPr>
                  <pic:blipFill>
                    <a:blip r:embed="rId10"/>
                    <a:stretch>
                      <a:fillRect/>
                    </a:stretch>
                  </pic:blipFill>
                  <pic:spPr>
                    <a:xfrm>
                      <a:off x="0" y="0"/>
                      <a:ext cx="1264920" cy="1675765"/>
                    </a:xfrm>
                    <a:prstGeom prst="rect">
                      <a:avLst/>
                    </a:prstGeom>
                  </pic:spPr>
                </pic:pic>
              </a:graphicData>
            </a:graphic>
          </wp:anchor>
        </w:drawing>
      </w:r>
      <w:r>
        <w:rPr>
          <w:rFonts w:hint="eastAsia" w:ascii="Times New Roman" w:hAnsi="Times New Roman" w:eastAsia="华文仿宋" w:cs="Times New Roman"/>
          <w:b/>
          <w:sz w:val="32"/>
          <w:szCs w:val="32"/>
          <w:lang w:eastAsia="zh-CN"/>
        </w:rPr>
        <w:t>李廉</w:t>
      </w:r>
      <w:r>
        <w:rPr>
          <w:rFonts w:hint="eastAsia" w:ascii="Times New Roman" w:hAnsi="Times New Roman" w:eastAsia="华文仿宋" w:cs="Times New Roman"/>
          <w:sz w:val="28"/>
          <w:szCs w:val="28"/>
          <w:lang w:eastAsia="zh-CN"/>
        </w:rPr>
        <w:t>，男，中国矿业大学外文学院副教授。研究兴趣领域：教育评价；语言测试。2008年至今从事考试开发、试题库建设，主持开发校本考试、规划教材题库、国家级考试及赛事题库开发等近200件套，在《Reading &amp; Writing Quarterly》、《中国考试》、《外语测试与教学》、《当代外语研究》等期刊发表语言测试论文二十余篇，主持各类语言测试课题7项。</w:t>
      </w:r>
    </w:p>
    <w:p>
      <w:pPr>
        <w:spacing w:before="360" w:beforeLines="150"/>
        <w:jc w:val="both"/>
        <w:rPr>
          <w:rFonts w:ascii="Times New Roman" w:hAnsi="Times New Roman" w:eastAsia="华文仿宋" w:cs="Times New Roman"/>
          <w:sz w:val="28"/>
          <w:szCs w:val="28"/>
          <w:lang w:eastAsia="zh-CN"/>
        </w:rPr>
      </w:pPr>
      <w:r>
        <w:rPr>
          <w:rFonts w:ascii="Times New Roman" w:hAnsi="Times New Roman" w:eastAsia="华文仿宋" w:cs="Times New Roman"/>
          <w:b/>
          <w:bCs/>
          <w:sz w:val="28"/>
          <w:szCs w:val="28"/>
          <w:lang w:eastAsia="zh-CN"/>
        </w:rPr>
        <w:t>报告题目</w:t>
      </w:r>
      <w:r>
        <w:rPr>
          <w:rFonts w:ascii="Times New Roman" w:hAnsi="Times New Roman" w:eastAsia="华文仿宋" w:cs="Times New Roman"/>
          <w:sz w:val="28"/>
          <w:szCs w:val="28"/>
          <w:lang w:eastAsia="zh-CN"/>
        </w:rPr>
        <w:t>：</w:t>
      </w:r>
      <w:r>
        <w:rPr>
          <w:rFonts w:hint="eastAsia" w:ascii="Times New Roman" w:hAnsi="Times New Roman" w:eastAsia="华文仿宋" w:cs="Times New Roman"/>
          <w:sz w:val="28"/>
          <w:szCs w:val="28"/>
          <w:lang w:eastAsia="zh-CN"/>
        </w:rPr>
        <w:t>观察、学习、研究：一个自下而上的路径及案例</w:t>
      </w:r>
    </w:p>
    <w:p>
      <w:pPr>
        <w:spacing w:before="360" w:beforeLines="150" w:line="300" w:lineRule="auto"/>
        <w:jc w:val="both"/>
        <w:rPr>
          <w:rFonts w:ascii="Times New Roman" w:hAnsi="Times New Roman" w:eastAsia="华文仿宋" w:cs="华文仿宋"/>
          <w:b/>
          <w:sz w:val="28"/>
          <w:szCs w:val="28"/>
          <w:lang w:eastAsia="zh-CN"/>
        </w:rPr>
      </w:pPr>
      <w:r>
        <w:rPr>
          <w:rFonts w:ascii="Times New Roman" w:hAnsi="Times New Roman" w:eastAsia="华文仿宋" w:cs="Times New Roman"/>
          <w:b/>
          <w:bCs/>
          <w:sz w:val="28"/>
          <w:szCs w:val="28"/>
          <w:lang w:eastAsia="zh-CN"/>
        </w:rPr>
        <w:t>摘要</w:t>
      </w:r>
      <w:r>
        <w:rPr>
          <w:rFonts w:ascii="Times New Roman" w:hAnsi="Times New Roman" w:eastAsia="华文仿宋" w:cs="Times New Roman"/>
          <w:sz w:val="28"/>
          <w:szCs w:val="28"/>
          <w:lang w:eastAsia="zh-CN"/>
        </w:rPr>
        <w:t>：</w:t>
      </w:r>
      <w:r>
        <w:rPr>
          <w:rFonts w:hint="eastAsia" w:ascii="Times New Roman" w:hAnsi="Times New Roman" w:eastAsia="华文仿宋" w:cs="Times New Roman"/>
          <w:sz w:val="28"/>
          <w:szCs w:val="28"/>
          <w:lang w:eastAsia="zh-CN"/>
        </w:rPr>
        <w:t>以一项跨学科研究为案例，介绍从观察现象到形成研究问题的研究形成路径。案例研究提要：在英语写作同伴评价中，对于评分信度的研究和评分实践均普遍采用数字表征方法，即使用数字估计表达评价结果。评分员对数字的认知是后天习得的结果，受数学背景、数字认知发展变化等诸多因素影响，同一评分员内部和不同评分员之间的数字估计结果存在差异。深度知觉作为生物意义上的感知机制，使人们具有准确判断距离的能力，其习得时间和发展成熟期均早于数字认知，因此深度知觉有望作为写作同伴评价中更稳定的表征媒介。该研究基于深度知觉表征开发评分软件，对比同伴评分员在计算机上分别使用数字表征和深度知觉表征的英语作文评价结果，参照基准评分分析评价结果的误差、相关性及内部一致性，实验结果表明深度知觉表征法可以改善同伴评分员的准确性和稳定性，评价误差更小，在评分员之间和个体评分员内部具有更高的一致性。</w:t>
      </w:r>
      <w:r>
        <w:rPr>
          <w:rFonts w:ascii="Times New Roman" w:hAnsi="Times New Roman" w:eastAsia="华文仿宋" w:cs="华文仿宋"/>
          <w:b/>
          <w:sz w:val="28"/>
          <w:szCs w:val="28"/>
          <w:lang w:eastAsia="zh-CN"/>
        </w:rPr>
        <w:br w:type="page"/>
      </w:r>
    </w:p>
    <w:p>
      <w:pPr>
        <w:rPr>
          <w:lang w:eastAsia="zh-CN"/>
        </w:rPr>
      </w:pPr>
    </w:p>
    <w:p>
      <w:pPr>
        <w:pStyle w:val="2"/>
        <w:spacing w:line="425" w:lineRule="exact"/>
        <w:ind w:left="0"/>
        <w:rPr>
          <w:rFonts w:ascii="华文仿宋" w:hAnsi="华文仿宋" w:eastAsia="华文仿宋" w:cs="华文仿宋"/>
          <w:b w:val="0"/>
          <w:bCs w:val="0"/>
          <w:lang w:eastAsia="zh-CN"/>
        </w:rPr>
      </w:pPr>
      <w:r>
        <w:rPr>
          <w:rFonts w:ascii="华文仿宋" w:hAnsi="华文仿宋" w:eastAsia="华文仿宋" w:cs="华文仿宋"/>
          <w:lang w:eastAsia="zh-CN"/>
        </w:rPr>
        <w:t>分组讨论论文摘要</w:t>
      </w:r>
    </w:p>
    <w:p>
      <w:pPr>
        <w:pStyle w:val="3"/>
        <w:rPr>
          <w:rFonts w:ascii="华文仿宋" w:hAnsi="华文仿宋" w:eastAsia="华文仿宋" w:cs="华文仿宋"/>
          <w:w w:val="95"/>
          <w:sz w:val="32"/>
          <w:szCs w:val="32"/>
          <w:lang w:eastAsia="zh-CN"/>
        </w:rPr>
      </w:pPr>
      <w:bookmarkStart w:id="1" w:name="基于语料库的汉语色彩语码“绿”之隐喻认知历时研究"/>
      <w:bookmarkEnd w:id="1"/>
      <w:r>
        <w:rPr>
          <w:rStyle w:val="37"/>
          <w:rFonts w:hint="eastAsia" w:asciiTheme="majorEastAsia" w:hAnsiTheme="majorEastAsia" w:eastAsiaTheme="majorEastAsia" w:cstheme="majorEastAsia"/>
          <w:b/>
          <w:bCs/>
          <w:sz w:val="30"/>
          <w:szCs w:val="30"/>
          <w:lang w:eastAsia="zh-CN"/>
        </w:rPr>
        <w:t>外国语言学及应用语言学组</w:t>
      </w:r>
      <w:r>
        <w:rPr>
          <w:rFonts w:hint="eastAsia" w:ascii="华文仿宋" w:hAnsi="华文仿宋" w:eastAsia="华文仿宋" w:cs="华文仿宋"/>
          <w:w w:val="95"/>
          <w:sz w:val="32"/>
          <w:szCs w:val="32"/>
          <w:lang w:eastAsia="zh-CN"/>
        </w:rPr>
        <w:t>（4人）</w:t>
      </w:r>
    </w:p>
    <w:tbl>
      <w:tblPr>
        <w:tblStyle w:val="1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006"/>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4" w:type="dxa"/>
            <w:shd w:val="clear" w:color="auto" w:fill="auto"/>
            <w:noWrap/>
            <w:vAlign w:val="center"/>
          </w:tcPr>
          <w:p>
            <w:pPr>
              <w:widowControl/>
              <w:spacing w:line="276" w:lineRule="auto"/>
              <w:jc w:val="center"/>
              <w:rPr>
                <w:rFonts w:ascii="黑体" w:hAnsi="黑体" w:eastAsia="黑体" w:cs="宋体"/>
                <w:b/>
                <w:bCs/>
                <w:color w:val="000000"/>
                <w:sz w:val="24"/>
                <w:szCs w:val="24"/>
                <w:lang w:eastAsia="zh-CN"/>
              </w:rPr>
            </w:pPr>
            <w:r>
              <w:rPr>
                <w:rFonts w:hint="eastAsia" w:ascii="黑体" w:hAnsi="黑体" w:eastAsia="黑体" w:cs="宋体"/>
                <w:b/>
                <w:bCs/>
                <w:color w:val="000000"/>
                <w:sz w:val="24"/>
                <w:szCs w:val="24"/>
                <w:lang w:eastAsia="zh-CN"/>
              </w:rPr>
              <w:t>序号</w:t>
            </w:r>
          </w:p>
        </w:tc>
        <w:tc>
          <w:tcPr>
            <w:tcW w:w="1006" w:type="dxa"/>
            <w:shd w:val="clear" w:color="auto" w:fill="auto"/>
            <w:noWrap/>
            <w:vAlign w:val="center"/>
          </w:tcPr>
          <w:p>
            <w:pPr>
              <w:widowControl/>
              <w:spacing w:line="276" w:lineRule="auto"/>
              <w:jc w:val="center"/>
              <w:rPr>
                <w:rFonts w:ascii="黑体" w:hAnsi="黑体" w:eastAsia="黑体" w:cs="宋体"/>
                <w:b/>
                <w:bCs/>
                <w:color w:val="000000"/>
                <w:sz w:val="24"/>
                <w:szCs w:val="24"/>
                <w:lang w:eastAsia="zh-CN"/>
              </w:rPr>
            </w:pPr>
            <w:r>
              <w:rPr>
                <w:rFonts w:hint="eastAsia" w:ascii="黑体" w:hAnsi="黑体" w:eastAsia="黑体" w:cs="宋体"/>
                <w:b/>
                <w:bCs/>
                <w:color w:val="000000"/>
                <w:sz w:val="24"/>
                <w:szCs w:val="24"/>
                <w:lang w:eastAsia="zh-CN"/>
              </w:rPr>
              <w:t>姓名</w:t>
            </w:r>
          </w:p>
        </w:tc>
        <w:tc>
          <w:tcPr>
            <w:tcW w:w="6780" w:type="dxa"/>
            <w:shd w:val="clear" w:color="auto" w:fill="auto"/>
            <w:noWrap/>
            <w:vAlign w:val="center"/>
          </w:tcPr>
          <w:p>
            <w:pPr>
              <w:widowControl/>
              <w:spacing w:line="276" w:lineRule="auto"/>
              <w:jc w:val="center"/>
              <w:rPr>
                <w:rFonts w:ascii="黑体" w:hAnsi="黑体" w:eastAsia="黑体" w:cs="宋体"/>
                <w:b/>
                <w:bCs/>
                <w:color w:val="000000"/>
                <w:sz w:val="24"/>
                <w:szCs w:val="24"/>
                <w:lang w:eastAsia="zh-CN"/>
              </w:rPr>
            </w:pPr>
            <w:r>
              <w:rPr>
                <w:rFonts w:hint="eastAsia" w:ascii="黑体" w:hAnsi="黑体" w:eastAsia="黑体" w:cs="宋体"/>
                <w:b/>
                <w:bCs/>
                <w:color w:val="000000"/>
                <w:sz w:val="24"/>
                <w:szCs w:val="24"/>
                <w:lang w:eastAsia="zh-CN"/>
              </w:rPr>
              <w:t>论文题目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4"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1</w:t>
            </w:r>
          </w:p>
        </w:tc>
        <w:tc>
          <w:tcPr>
            <w:tcW w:w="1006"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赵红艳</w:t>
            </w:r>
          </w:p>
        </w:tc>
        <w:tc>
          <w:tcPr>
            <w:tcW w:w="6780"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应用语言学方向中国作者和英语本族语作者期刊文章中引用形式对比研究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4"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2</w:t>
            </w:r>
          </w:p>
        </w:tc>
        <w:tc>
          <w:tcPr>
            <w:tcW w:w="1006"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陈    曦</w:t>
            </w:r>
          </w:p>
        </w:tc>
        <w:tc>
          <w:tcPr>
            <w:tcW w:w="6780"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ascii="Times New Roman" w:hAnsi="Times New Roman" w:eastAsia="楷体" w:cs="宋体"/>
                <w:color w:val="000000"/>
                <w:sz w:val="24"/>
                <w:szCs w:val="24"/>
                <w:lang w:eastAsia="zh-CN"/>
              </w:rPr>
              <w:t>中小学生英语作文的句法复杂度区别性特征研究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4"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3</w:t>
            </w:r>
          </w:p>
        </w:tc>
        <w:tc>
          <w:tcPr>
            <w:tcW w:w="1006"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魏毓伟</w:t>
            </w:r>
          </w:p>
        </w:tc>
        <w:tc>
          <w:tcPr>
            <w:tcW w:w="6780"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任务类型对二语口语产出词汇复杂度的影响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4"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ascii="Times New Roman" w:hAnsi="Times New Roman" w:eastAsia="楷体" w:cs="宋体"/>
                <w:color w:val="000000"/>
                <w:sz w:val="24"/>
                <w:szCs w:val="24"/>
                <w:lang w:eastAsia="zh-CN"/>
              </w:rPr>
              <w:t>4</w:t>
            </w:r>
          </w:p>
        </w:tc>
        <w:tc>
          <w:tcPr>
            <w:tcW w:w="1006"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郭思婕</w:t>
            </w:r>
          </w:p>
        </w:tc>
        <w:tc>
          <w:tcPr>
            <w:tcW w:w="6780" w:type="dxa"/>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ascii="Times New Roman" w:hAnsi="Times New Roman" w:eastAsia="楷体" w:cs="宋体"/>
                <w:color w:val="000000"/>
                <w:sz w:val="24"/>
                <w:szCs w:val="24"/>
                <w:lang w:eastAsia="zh-CN"/>
              </w:rPr>
              <w:t>网络差评回复中商家身份建构的动态性和关系管理</w:t>
            </w:r>
          </w:p>
        </w:tc>
      </w:tr>
    </w:tbl>
    <w:p>
      <w:pPr>
        <w:spacing w:before="155" w:after="120" w:afterLines="50"/>
        <w:ind w:left="119"/>
        <w:rPr>
          <w:rFonts w:ascii="Times New Roman" w:hAnsi="Times New Roman" w:eastAsia="Times New Roman" w:cs="Times New Roman"/>
          <w:sz w:val="14"/>
          <w:szCs w:val="14"/>
          <w:lang w:eastAsia="zh-CN"/>
        </w:rPr>
      </w:pPr>
    </w:p>
    <w:p>
      <w:pPr>
        <w:pStyle w:val="4"/>
        <w:rPr>
          <w:rFonts w:ascii="宋体" w:hAnsi="宋体" w:eastAsia="宋体" w:cs="宋体"/>
          <w:sz w:val="32"/>
          <w:lang w:eastAsia="zh-CN"/>
        </w:rPr>
      </w:pPr>
      <w:bookmarkStart w:id="2" w:name="从合作原则看《脱口秀大会》和《吐槽大会》中的幽默"/>
      <w:bookmarkEnd w:id="2"/>
      <w:r>
        <w:rPr>
          <w:rFonts w:hint="eastAsia" w:ascii="宋体" w:hAnsi="宋体" w:eastAsia="宋体" w:cs="宋体"/>
          <w:sz w:val="32"/>
          <w:lang w:eastAsia="zh-CN"/>
        </w:rPr>
        <w:t>应用语言学方向中国作者和英语本族语作者期刊文章中引用形式对比研究</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赵红艳</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近年来，英语学术语篇中的引用逐步受到语言学领域学者的关注。本研究对比了国际期刊中以英语为二语的中国作者和英语本族语作者的引用形式,研究结果如下：1）中国作者和英语本族语作者在引用类型维度存在显著差异，与英语本族语作者相比，中国作者倾向于使用更多的融入式引用和非融入式引用。引用类型在因作者而异，因此，为国际期刊写作的中国学者，尤其是新手学者均可以使用多种引用类型来表达他们立场。2）就引用的来源数量而言，与多参考文献引用相比，中国作者和本族语作者均更偏向于使用单参考文献引用。3）从转述动词的符号意义来看，中国作者和本族语作者均更偏向于使用研究动词和话语动词，研究类转述动词在语料库中有明显的偏好。中国作者研究动词所占比率略低于英语本族语作者，话语动词略高于本族语作者。从转述动词的评价意义来看，中国作者在对被引内容表达立场或态度时仍与本族语作者存在一定的差距，中国作者对被引内容表达中立立场比率高于英语本族语作者。这些发现对学术英语写作和教学具有一定的启示。</w:t>
      </w:r>
    </w:p>
    <w:p>
      <w:pPr>
        <w:spacing w:line="560" w:lineRule="exact"/>
        <w:ind w:firstLine="480" w:firstLineChars="200"/>
        <w:rPr>
          <w:rFonts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期刊文章；引用；转述动词；语料</w:t>
      </w:r>
    </w:p>
    <w:p>
      <w:pPr>
        <w:spacing w:line="560" w:lineRule="exact"/>
        <w:rPr>
          <w:rFonts w:ascii="仿宋" w:hAnsi="仿宋" w:eastAsia="仿宋"/>
          <w:lang w:eastAsia="zh-CN"/>
        </w:rPr>
      </w:pPr>
    </w:p>
    <w:p>
      <w:pPr>
        <w:pStyle w:val="4"/>
        <w:rPr>
          <w:lang w:eastAsia="zh-CN"/>
        </w:rPr>
      </w:pPr>
      <w:r>
        <w:rPr>
          <w:rFonts w:hint="eastAsia" w:ascii="宋体" w:hAnsi="宋体" w:eastAsia="宋体" w:cs="宋体"/>
          <w:sz w:val="32"/>
          <w:lang w:eastAsia="zh-CN"/>
        </w:rPr>
        <w:t>中小学生英语作文的句法复杂度区别性特征研究</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陈曦</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本研究按年级划分3组横向考察了中低水平英语学习者英语作文的句法复杂度特点。句法复杂度包括粗颗粒和细颗粒度句法指标，采用TAASSC软件自动识别并标注中小学生英语作文句法复杂度参数，对比和分析19项句法指标与不同年级段之间的关系。研究发现：初学者通常依赖于并列短语、简单句或存现句，而中低水平者倾向使用从属结构；随着年级的升高，名词的后置修饰语比例增加，母语思维的影响逐渐减小。基于以上发现，本研究对英语句法教学提出了几点建议。</w:t>
      </w:r>
    </w:p>
    <w:p>
      <w:pPr>
        <w:spacing w:line="560" w:lineRule="exact"/>
        <w:ind w:firstLine="480" w:firstLineChars="200"/>
        <w:rPr>
          <w:rFonts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粗颗粒句法指标；细颗粒句法指标；句法复杂度；英语作文</w:t>
      </w:r>
    </w:p>
    <w:p>
      <w:pPr>
        <w:spacing w:line="560" w:lineRule="exact"/>
        <w:rPr>
          <w:rFonts w:ascii="仿宋" w:hAnsi="仿宋" w:eastAsia="仿宋"/>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任务类型对二语口语产出词汇复杂度的影响</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魏毓伟</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本研究基于 Robinson 的认知假说，以 ICNALE 语料库中二语学习者的口语文本 为语料来源，旨在探究任务类型对英语二语口语产出的词汇复杂度的影响。研究考察了独白、 对话、图片描述和角色扮演这四种任务类型。研究发现任务类型对词汇复杂度存在不同程度 的影响:(1) 除了词汇多样性，独白和对话任务在词汇复杂性、词汇熟悉度和词汇密度上均 存在显著差异;(2) 图片描述任务和角色扮演任务只在词汇多样性和词汇熟悉度上有所差异。 研究结果对任务型教学具有一定的指导和启示作用。</w:t>
      </w:r>
    </w:p>
    <w:p>
      <w:pPr>
        <w:spacing w:line="560" w:lineRule="exact"/>
        <w:ind w:firstLine="480" w:firstLineChars="200"/>
        <w:rPr>
          <w:rFonts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任务类型;口语产出;词汇复杂</w:t>
      </w:r>
    </w:p>
    <w:p>
      <w:pPr>
        <w:spacing w:line="560" w:lineRule="exact"/>
        <w:rPr>
          <w:rFonts w:ascii="仿宋" w:hAnsi="仿宋" w:eastAsia="仿宋"/>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网络差评回复中商家身份建构的动态性和关系管理</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郭思婕</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近年来，商务网站中商家如何管理与消费者的人际关系成为新兴议题。本研究基于京东购物网站上部分网络差评回复，从人际语用学视角考察商家身份建构的言语行为，并探究其语用身份建构的动态性和关系管理。研究发现商家采用了道歉、感谢、同情等十一种言语行为，构建了诚恳认错型、顾客至上型等不同类型的商家身份，进而成功实现了面子管理、权利与义务管理、情绪管理和交际目标管理。</w:t>
      </w:r>
    </w:p>
    <w:p>
      <w:pPr>
        <w:spacing w:line="560" w:lineRule="exact"/>
        <w:ind w:firstLine="480" w:firstLineChars="200"/>
        <w:rPr>
          <w:lang w:eastAsia="zh-CN"/>
        </w:r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商家回复；语用身份；动态性；关系管理；人际语用学</w:t>
      </w:r>
    </w:p>
    <w:p>
      <w:pPr>
        <w:widowControl/>
        <w:rPr>
          <w:rFonts w:ascii="华文仿宋" w:hAnsi="华文仿宋" w:eastAsia="华文仿宋" w:cs="华文仿宋"/>
          <w:b/>
          <w:bCs/>
          <w:w w:val="95"/>
          <w:sz w:val="32"/>
          <w:szCs w:val="32"/>
          <w:lang w:eastAsia="zh-CN"/>
        </w:rPr>
      </w:pPr>
      <w:bookmarkStart w:id="3" w:name="_Toc15088"/>
      <w:r>
        <w:rPr>
          <w:rFonts w:ascii="华文仿宋" w:hAnsi="华文仿宋" w:eastAsia="华文仿宋" w:cs="华文仿宋"/>
          <w:b/>
          <w:bCs/>
          <w:w w:val="95"/>
          <w:sz w:val="32"/>
          <w:szCs w:val="32"/>
          <w:lang w:eastAsia="zh-CN"/>
        </w:rPr>
        <w:br w:type="page"/>
      </w:r>
    </w:p>
    <w:bookmarkEnd w:id="3"/>
    <w:p>
      <w:pPr>
        <w:tabs>
          <w:tab w:val="left" w:pos="2164"/>
        </w:tabs>
        <w:spacing w:line="425" w:lineRule="exact"/>
        <w:ind w:left="120" w:right="86"/>
        <w:jc w:val="center"/>
        <w:rPr>
          <w:rFonts w:ascii="华文仿宋" w:hAnsi="华文仿宋" w:eastAsia="华文仿宋" w:cs="华文仿宋"/>
          <w:b/>
          <w:bCs/>
          <w:w w:val="95"/>
          <w:sz w:val="32"/>
          <w:szCs w:val="32"/>
          <w:lang w:eastAsia="zh-CN"/>
        </w:rPr>
      </w:pPr>
    </w:p>
    <w:p>
      <w:pPr>
        <w:pStyle w:val="3"/>
        <w:rPr>
          <w:rFonts w:ascii="华文仿宋" w:hAnsi="华文仿宋" w:eastAsia="华文仿宋" w:cs="华文仿宋"/>
          <w:w w:val="95"/>
          <w:sz w:val="32"/>
          <w:szCs w:val="32"/>
          <w:lang w:eastAsia="zh-CN"/>
        </w:rPr>
      </w:pPr>
      <w:r>
        <w:rPr>
          <w:rStyle w:val="37"/>
          <w:rFonts w:hint="eastAsia" w:asciiTheme="majorEastAsia" w:hAnsiTheme="majorEastAsia" w:eastAsiaTheme="majorEastAsia" w:cstheme="majorEastAsia"/>
          <w:b/>
          <w:bCs/>
          <w:sz w:val="30"/>
          <w:szCs w:val="30"/>
          <w:lang w:eastAsia="zh-CN"/>
        </w:rPr>
        <w:t>文学与比较文学组</w:t>
      </w:r>
      <w:r>
        <w:rPr>
          <w:rFonts w:hint="eastAsia" w:ascii="华文仿宋" w:hAnsi="华文仿宋" w:eastAsia="华文仿宋" w:cs="华文仿宋"/>
          <w:w w:val="95"/>
          <w:sz w:val="32"/>
          <w:szCs w:val="32"/>
          <w:lang w:eastAsia="zh-CN"/>
        </w:rPr>
        <w:t>（</w:t>
      </w:r>
      <w:r>
        <w:rPr>
          <w:rFonts w:hint="eastAsia" w:ascii="华文仿宋" w:hAnsi="华文仿宋" w:eastAsia="华文仿宋" w:cs="华文仿宋"/>
          <w:w w:val="95"/>
          <w:sz w:val="32"/>
          <w:szCs w:val="32"/>
          <w:lang w:val="en-US" w:eastAsia="zh-CN"/>
        </w:rPr>
        <w:t>6</w:t>
      </w:r>
      <w:r>
        <w:rPr>
          <w:rFonts w:hint="eastAsia" w:ascii="华文仿宋" w:hAnsi="华文仿宋" w:eastAsia="华文仿宋" w:cs="华文仿宋"/>
          <w:w w:val="95"/>
          <w:sz w:val="32"/>
          <w:szCs w:val="32"/>
          <w:lang w:eastAsia="zh-CN"/>
        </w:rPr>
        <w:t>人）</w:t>
      </w:r>
    </w:p>
    <w:p>
      <w:pPr>
        <w:tabs>
          <w:tab w:val="left" w:pos="2164"/>
        </w:tabs>
        <w:spacing w:line="425" w:lineRule="exact"/>
        <w:ind w:left="120" w:right="86"/>
        <w:jc w:val="center"/>
        <w:rPr>
          <w:rFonts w:ascii="华文仿宋" w:hAnsi="华文仿宋" w:eastAsia="华文仿宋" w:cs="华文仿宋"/>
          <w:b/>
          <w:bCs/>
          <w:w w:val="95"/>
          <w:sz w:val="32"/>
          <w:szCs w:val="32"/>
          <w:lang w:eastAsia="zh-CN"/>
        </w:rPr>
      </w:pPr>
    </w:p>
    <w:tbl>
      <w:tblPr>
        <w:tblStyle w:val="17"/>
        <w:tblW w:w="8364" w:type="dxa"/>
        <w:jc w:val="center"/>
        <w:tblLayout w:type="autofit"/>
        <w:tblCellMar>
          <w:top w:w="0" w:type="dxa"/>
          <w:left w:w="108" w:type="dxa"/>
          <w:bottom w:w="0" w:type="dxa"/>
          <w:right w:w="108" w:type="dxa"/>
        </w:tblCellMar>
      </w:tblPr>
      <w:tblGrid>
        <w:gridCol w:w="709"/>
        <w:gridCol w:w="992"/>
        <w:gridCol w:w="6663"/>
      </w:tblGrid>
      <w:tr>
        <w:tblPrEx>
          <w:tblCellMar>
            <w:top w:w="0" w:type="dxa"/>
            <w:left w:w="108" w:type="dxa"/>
            <w:bottom w:w="0" w:type="dxa"/>
            <w:right w:w="108" w:type="dxa"/>
          </w:tblCellMar>
        </w:tblPrEx>
        <w:trPr>
          <w:trHeight w:val="271"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76" w:lineRule="auto"/>
              <w:jc w:val="center"/>
              <w:rPr>
                <w:rFonts w:ascii="黑体" w:hAnsi="黑体" w:eastAsia="黑体" w:cs="宋体"/>
                <w:b/>
                <w:bCs/>
                <w:color w:val="000000"/>
                <w:sz w:val="24"/>
                <w:szCs w:val="24"/>
                <w:lang w:eastAsia="zh-CN"/>
              </w:rPr>
            </w:pPr>
            <w:bookmarkStart w:id="4" w:name="_Hlk85963879"/>
            <w:r>
              <w:rPr>
                <w:rFonts w:hint="eastAsia" w:ascii="黑体" w:hAnsi="黑体" w:eastAsia="黑体" w:cs="宋体"/>
                <w:b/>
                <w:bCs/>
                <w:color w:val="000000"/>
                <w:sz w:val="24"/>
                <w:szCs w:val="24"/>
                <w:lang w:eastAsia="zh-CN"/>
              </w:rPr>
              <w:t>序号</w:t>
            </w:r>
          </w:p>
        </w:tc>
        <w:tc>
          <w:tcPr>
            <w:tcW w:w="992"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76" w:lineRule="auto"/>
              <w:jc w:val="center"/>
              <w:rPr>
                <w:rFonts w:ascii="黑体" w:hAnsi="黑体" w:eastAsia="黑体" w:cs="宋体"/>
                <w:b/>
                <w:bCs/>
                <w:color w:val="000000"/>
                <w:sz w:val="24"/>
                <w:szCs w:val="24"/>
                <w:lang w:eastAsia="zh-CN"/>
              </w:rPr>
            </w:pPr>
            <w:r>
              <w:rPr>
                <w:rFonts w:hint="eastAsia" w:ascii="黑体" w:hAnsi="黑体" w:eastAsia="黑体" w:cs="宋体"/>
                <w:b/>
                <w:bCs/>
                <w:color w:val="000000"/>
                <w:sz w:val="24"/>
                <w:szCs w:val="24"/>
                <w:lang w:eastAsia="zh-CN"/>
              </w:rPr>
              <w:t>姓名</w:t>
            </w:r>
          </w:p>
        </w:tc>
        <w:tc>
          <w:tcPr>
            <w:tcW w:w="6663"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76" w:lineRule="auto"/>
              <w:jc w:val="center"/>
              <w:rPr>
                <w:rFonts w:ascii="黑体" w:hAnsi="黑体" w:eastAsia="黑体" w:cs="宋体"/>
                <w:b/>
                <w:bCs/>
                <w:color w:val="000000"/>
                <w:sz w:val="24"/>
                <w:szCs w:val="24"/>
                <w:lang w:eastAsia="zh-CN"/>
              </w:rPr>
            </w:pPr>
            <w:r>
              <w:rPr>
                <w:rFonts w:hint="eastAsia" w:ascii="黑体" w:hAnsi="黑体" w:eastAsia="黑体" w:cs="宋体"/>
                <w:b/>
                <w:bCs/>
                <w:color w:val="000000"/>
                <w:sz w:val="24"/>
                <w:szCs w:val="24"/>
                <w:lang w:eastAsia="zh-CN"/>
              </w:rPr>
              <w:t>论文题目</w:t>
            </w:r>
          </w:p>
        </w:tc>
      </w:tr>
      <w:bookmarkEnd w:id="4"/>
      <w:tr>
        <w:tblPrEx>
          <w:tblCellMar>
            <w:top w:w="0" w:type="dxa"/>
            <w:left w:w="108" w:type="dxa"/>
            <w:bottom w:w="0" w:type="dxa"/>
            <w:right w:w="108" w:type="dxa"/>
          </w:tblCellMar>
        </w:tblPrEx>
        <w:trPr>
          <w:trHeight w:val="285" w:hRule="atLeast"/>
          <w:jc w:val="center"/>
        </w:trPr>
        <w:tc>
          <w:tcPr>
            <w:tcW w:w="709" w:type="dxa"/>
            <w:tcBorders>
              <w:top w:val="nil"/>
              <w:left w:val="single" w:color="000000" w:sz="4" w:space="0"/>
              <w:bottom w:val="single" w:color="000000" w:sz="4" w:space="0"/>
              <w:right w:val="single" w:color="000000"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1</w:t>
            </w:r>
          </w:p>
        </w:tc>
        <w:tc>
          <w:tcPr>
            <w:tcW w:w="992" w:type="dxa"/>
            <w:tcBorders>
              <w:top w:val="nil"/>
              <w:left w:val="nil"/>
              <w:bottom w:val="single" w:color="000000" w:sz="4" w:space="0"/>
              <w:right w:val="single" w:color="000000"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张丹丹</w:t>
            </w:r>
          </w:p>
        </w:tc>
        <w:tc>
          <w:tcPr>
            <w:tcW w:w="6663" w:type="dxa"/>
            <w:tcBorders>
              <w:top w:val="nil"/>
              <w:left w:val="nil"/>
              <w:bottom w:val="single" w:color="000000" w:sz="4" w:space="0"/>
              <w:right w:val="single" w:color="000000"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沉醉与逃离</w:t>
            </w:r>
            <w:r>
              <w:rPr>
                <w:rFonts w:hint="eastAsia" w:ascii="Times New Roman" w:hAnsi="Times New Roman" w:eastAsia="楷体" w:cs="宋体"/>
                <w:color w:val="000000"/>
                <w:sz w:val="24"/>
                <w:szCs w:val="24"/>
                <w:lang w:eastAsia="zh-CN"/>
              </w:rPr>
              <w:br w:type="textWrapping"/>
            </w:r>
            <w:r>
              <w:rPr>
                <w:rFonts w:hint="eastAsia" w:ascii="Times New Roman" w:hAnsi="Times New Roman" w:eastAsia="楷体" w:cs="宋体"/>
                <w:color w:val="000000"/>
                <w:sz w:val="24"/>
                <w:szCs w:val="24"/>
                <w:lang w:eastAsia="zh-CN"/>
              </w:rPr>
              <w:t>——浅析《消失的地平线》中康维的乌托邦理想破灭</w:t>
            </w:r>
          </w:p>
        </w:tc>
      </w:tr>
      <w:tr>
        <w:tblPrEx>
          <w:tblCellMar>
            <w:top w:w="0" w:type="dxa"/>
            <w:left w:w="108" w:type="dxa"/>
            <w:bottom w:w="0" w:type="dxa"/>
            <w:right w:w="108" w:type="dxa"/>
          </w:tblCellMar>
        </w:tblPrEx>
        <w:trPr>
          <w:trHeight w:val="808" w:hRule="atLeast"/>
          <w:jc w:val="center"/>
        </w:trPr>
        <w:tc>
          <w:tcPr>
            <w:tcW w:w="709" w:type="dxa"/>
            <w:tcBorders>
              <w:top w:val="nil"/>
              <w:left w:val="single" w:color="000000" w:sz="4" w:space="0"/>
              <w:bottom w:val="single" w:color="000000" w:sz="4" w:space="0"/>
              <w:right w:val="single" w:color="000000"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2</w:t>
            </w:r>
          </w:p>
        </w:tc>
        <w:tc>
          <w:tcPr>
            <w:tcW w:w="992" w:type="dxa"/>
            <w:tcBorders>
              <w:top w:val="nil"/>
              <w:left w:val="nil"/>
              <w:bottom w:val="single" w:color="000000" w:sz="4" w:space="0"/>
              <w:right w:val="single" w:color="000000"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刘    静</w:t>
            </w:r>
          </w:p>
        </w:tc>
        <w:tc>
          <w:tcPr>
            <w:tcW w:w="6663" w:type="dxa"/>
            <w:tcBorders>
              <w:top w:val="nil"/>
              <w:left w:val="nil"/>
              <w:bottom w:val="single" w:color="000000" w:sz="4" w:space="0"/>
              <w:right w:val="single" w:color="000000"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“他者”视域下的认同·迷失·重塑</w:t>
            </w:r>
            <w:r>
              <w:rPr>
                <w:rFonts w:hint="eastAsia" w:ascii="Times New Roman" w:hAnsi="Times New Roman" w:eastAsia="楷体" w:cs="宋体"/>
                <w:color w:val="000000"/>
                <w:sz w:val="24"/>
                <w:szCs w:val="24"/>
                <w:lang w:eastAsia="zh-CN"/>
              </w:rPr>
              <w:br w:type="textWrapping"/>
            </w:r>
            <w:r>
              <w:rPr>
                <w:rFonts w:hint="eastAsia" w:ascii="Times New Roman" w:hAnsi="Times New Roman" w:eastAsia="楷体" w:cs="宋体"/>
                <w:color w:val="000000"/>
                <w:sz w:val="24"/>
                <w:szCs w:val="24"/>
                <w:lang w:eastAsia="zh-CN"/>
              </w:rPr>
              <w:t>——拉康镜像理论下的《你当像鸟飞往你的山》</w:t>
            </w:r>
          </w:p>
        </w:tc>
      </w:tr>
      <w:tr>
        <w:tblPrEx>
          <w:tblCellMar>
            <w:top w:w="0" w:type="dxa"/>
            <w:left w:w="108" w:type="dxa"/>
            <w:bottom w:w="0" w:type="dxa"/>
            <w:right w:w="108" w:type="dxa"/>
          </w:tblCellMar>
        </w:tblPrEx>
        <w:trPr>
          <w:trHeight w:val="415" w:hRule="atLeast"/>
          <w:jc w:val="center"/>
        </w:trPr>
        <w:tc>
          <w:tcPr>
            <w:tcW w:w="709" w:type="dxa"/>
            <w:tcBorders>
              <w:top w:val="nil"/>
              <w:left w:val="single" w:color="000000" w:sz="4" w:space="0"/>
              <w:bottom w:val="single" w:color="auto" w:sz="4" w:space="0"/>
              <w:right w:val="single" w:color="000000"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3</w:t>
            </w:r>
          </w:p>
        </w:tc>
        <w:tc>
          <w:tcPr>
            <w:tcW w:w="992" w:type="dxa"/>
            <w:tcBorders>
              <w:top w:val="nil"/>
              <w:left w:val="nil"/>
              <w:bottom w:val="single" w:color="auto" w:sz="4" w:space="0"/>
              <w:right w:val="single" w:color="000000"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马    玉</w:t>
            </w:r>
          </w:p>
        </w:tc>
        <w:tc>
          <w:tcPr>
            <w:tcW w:w="6663" w:type="dxa"/>
            <w:tcBorders>
              <w:top w:val="nil"/>
              <w:left w:val="nil"/>
              <w:bottom w:val="single" w:color="auto" w:sz="4" w:space="0"/>
              <w:right w:val="single" w:color="000000"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论《篱笆》中的仪式书写与身份重建</w:t>
            </w:r>
          </w:p>
        </w:tc>
      </w:tr>
      <w:tr>
        <w:tblPrEx>
          <w:tblCellMar>
            <w:top w:w="0" w:type="dxa"/>
            <w:left w:w="108" w:type="dxa"/>
            <w:bottom w:w="0" w:type="dxa"/>
            <w:right w:w="108" w:type="dxa"/>
          </w:tblCellMar>
        </w:tblPrEx>
        <w:trPr>
          <w:trHeight w:val="795"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刘沛莹</w:t>
            </w:r>
          </w:p>
        </w:tc>
        <w:tc>
          <w:tcPr>
            <w:tcW w:w="66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“寂寞的汽笛”</w:t>
            </w:r>
            <w:r>
              <w:rPr>
                <w:rFonts w:hint="eastAsia" w:ascii="Times New Roman" w:hAnsi="Times New Roman" w:eastAsia="楷体" w:cs="宋体"/>
                <w:color w:val="000000"/>
                <w:sz w:val="24"/>
                <w:szCs w:val="24"/>
                <w:lang w:eastAsia="zh-CN"/>
              </w:rPr>
              <w:br w:type="textWrapping"/>
            </w:r>
            <w:r>
              <w:rPr>
                <w:rFonts w:hint="eastAsia" w:ascii="Times New Roman" w:hAnsi="Times New Roman" w:eastAsia="楷体" w:cs="宋体"/>
                <w:color w:val="000000"/>
                <w:sz w:val="24"/>
                <w:szCs w:val="24"/>
                <w:lang w:eastAsia="zh-CN"/>
              </w:rPr>
              <w:t>——空间批评视域下《火车梦》中的生存困境分析</w:t>
            </w:r>
          </w:p>
        </w:tc>
      </w:tr>
      <w:tr>
        <w:tblPrEx>
          <w:tblCellMar>
            <w:top w:w="0" w:type="dxa"/>
            <w:left w:w="108" w:type="dxa"/>
            <w:bottom w:w="0" w:type="dxa"/>
            <w:right w:w="108" w:type="dxa"/>
          </w:tblCellMar>
        </w:tblPrEx>
        <w:trPr>
          <w:trHeight w:val="795"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hint="default" w:ascii="Times New Roman" w:hAnsi="Times New Roman" w:eastAsia="楷体" w:cs="宋体"/>
                <w:color w:val="000000"/>
                <w:sz w:val="24"/>
                <w:szCs w:val="24"/>
                <w:lang w:val="en-US" w:eastAsia="zh-CN"/>
              </w:rPr>
            </w:pPr>
            <w:r>
              <w:rPr>
                <w:rFonts w:hint="eastAsia" w:ascii="Times New Roman" w:hAnsi="Times New Roman" w:eastAsia="楷体" w:cs="宋体"/>
                <w:color w:val="000000"/>
                <w:sz w:val="24"/>
                <w:szCs w:val="24"/>
                <w:lang w:val="en-US" w:eastAsia="zh-CN"/>
              </w:rPr>
              <w:t>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hint="eastAsia"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宋佩珊</w:t>
            </w:r>
          </w:p>
        </w:tc>
        <w:tc>
          <w:tcPr>
            <w:tcW w:w="66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hint="eastAsia"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国别与区域研究-NSFC资助下中国工程教育研究热点及</w:t>
            </w:r>
          </w:p>
          <w:p>
            <w:pPr>
              <w:widowControl/>
              <w:spacing w:line="276" w:lineRule="auto"/>
              <w:jc w:val="center"/>
              <w:rPr>
                <w:rFonts w:hint="eastAsia"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趋势探索（2013-2023）</w:t>
            </w:r>
          </w:p>
        </w:tc>
      </w:tr>
      <w:tr>
        <w:tblPrEx>
          <w:tblCellMar>
            <w:top w:w="0" w:type="dxa"/>
            <w:left w:w="108" w:type="dxa"/>
            <w:bottom w:w="0" w:type="dxa"/>
            <w:right w:w="108" w:type="dxa"/>
          </w:tblCellMar>
        </w:tblPrEx>
        <w:trPr>
          <w:trHeight w:val="795"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hint="default" w:ascii="Times New Roman" w:hAnsi="Times New Roman" w:eastAsia="楷体" w:cs="宋体"/>
                <w:color w:val="000000"/>
                <w:sz w:val="24"/>
                <w:szCs w:val="24"/>
                <w:lang w:val="en-US" w:eastAsia="zh-CN"/>
              </w:rPr>
            </w:pPr>
            <w:r>
              <w:rPr>
                <w:rFonts w:hint="eastAsia" w:ascii="Times New Roman" w:hAnsi="Times New Roman" w:eastAsia="楷体" w:cs="宋体"/>
                <w:color w:val="000000"/>
                <w:sz w:val="24"/>
                <w:szCs w:val="24"/>
                <w:lang w:val="en-US" w:eastAsia="zh-CN"/>
              </w:rPr>
              <w:t>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hint="eastAsia"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陆惟谊</w:t>
            </w:r>
          </w:p>
        </w:tc>
        <w:tc>
          <w:tcPr>
            <w:tcW w:w="66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76" w:lineRule="auto"/>
              <w:jc w:val="center"/>
              <w:rPr>
                <w:rFonts w:hint="eastAsia"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国别与区域研究—国内外教育领域智库研究的对比分析</w:t>
            </w:r>
          </w:p>
        </w:tc>
      </w:tr>
    </w:tbl>
    <w:p>
      <w:pPr>
        <w:tabs>
          <w:tab w:val="left" w:pos="2164"/>
        </w:tabs>
        <w:spacing w:line="425" w:lineRule="exact"/>
        <w:ind w:left="120" w:right="86"/>
        <w:rPr>
          <w:rFonts w:ascii="华文仿宋" w:hAnsi="华文仿宋" w:eastAsia="华文仿宋" w:cs="华文仿宋"/>
          <w:sz w:val="24"/>
          <w:szCs w:val="24"/>
          <w:lang w:eastAsia="zh-CN"/>
        </w:rPr>
      </w:pPr>
    </w:p>
    <w:p>
      <w:pPr>
        <w:pStyle w:val="4"/>
        <w:rPr>
          <w:rFonts w:ascii="宋体" w:hAnsi="宋体" w:eastAsia="宋体" w:cs="宋体"/>
          <w:sz w:val="32"/>
          <w:lang w:eastAsia="zh-CN"/>
        </w:rPr>
      </w:pPr>
      <w:bookmarkStart w:id="5" w:name="_GoBack"/>
      <w:bookmarkEnd w:id="5"/>
      <w:r>
        <w:rPr>
          <w:rFonts w:hint="eastAsia" w:ascii="宋体" w:hAnsi="宋体" w:eastAsia="宋体" w:cs="宋体"/>
          <w:sz w:val="32"/>
          <w:lang w:eastAsia="zh-CN"/>
        </w:rPr>
        <w:t>沉醉与逃离</w:t>
      </w:r>
      <w:r>
        <w:rPr>
          <w:rFonts w:hint="eastAsia" w:ascii="宋体" w:hAnsi="宋体" w:eastAsia="宋体" w:cs="宋体"/>
          <w:sz w:val="32"/>
          <w:lang w:eastAsia="zh-CN"/>
        </w:rPr>
        <w:br w:type="textWrapping"/>
      </w:r>
      <w:r>
        <w:rPr>
          <w:rFonts w:hint="eastAsia" w:ascii="宋体" w:hAnsi="宋体" w:eastAsia="宋体" w:cs="宋体"/>
          <w:sz w:val="32"/>
          <w:lang w:eastAsia="zh-CN"/>
        </w:rPr>
        <w:t>——浅析《消失的地平线》中康维的乌托邦理想破灭</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张丹丹</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乌托邦是人类心中难以企及的梦，自古以来，描述人们心中乌托邦式理想社会的作品层出不穷，但乌托邦终究是难以到达之地，最终人们还是要回归正常世界。本文以乌托邦为研究的切入点，结合战后创伤理论，探讨《消失的地平线》的主人公康维对乌托邦生活的向往和沉醉，同时对其最终选择逃离乌托邦加以分析。</w:t>
      </w:r>
    </w:p>
    <w:p>
      <w:pPr>
        <w:spacing w:line="560" w:lineRule="exact"/>
        <w:ind w:firstLine="480" w:firstLineChars="200"/>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《消失的地平线》 ；战后创伤 ；乌托邦 ；逃离</w:t>
      </w:r>
    </w:p>
    <w:p>
      <w:pPr>
        <w:pStyle w:val="6"/>
        <w:rPr>
          <w:rFonts w:eastAsia="华文仿宋"/>
          <w:lang w:eastAsia="zh-CN"/>
        </w:rPr>
      </w:pPr>
    </w:p>
    <w:p>
      <w:pPr>
        <w:widowControl/>
        <w:rPr>
          <w:b/>
          <w:bCs/>
          <w:sz w:val="32"/>
          <w:szCs w:val="32"/>
          <w:lang w:eastAsia="zh-CN"/>
        </w:rPr>
      </w:pPr>
      <w:r>
        <w:rPr>
          <w:b/>
          <w:bCs/>
          <w:sz w:val="32"/>
          <w:szCs w:val="32"/>
          <w:lang w:eastAsia="zh-CN"/>
        </w:rPr>
        <w:br w:type="page"/>
      </w:r>
    </w:p>
    <w:p>
      <w:pPr>
        <w:widowControl/>
        <w:rPr>
          <w:rFonts w:hint="eastAsia"/>
          <w:b/>
          <w:bCs/>
          <w:sz w:val="32"/>
          <w:szCs w:val="32"/>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“他者”视域下的认同·迷失·重塑</w:t>
      </w:r>
      <w:r>
        <w:rPr>
          <w:rFonts w:hint="eastAsia" w:ascii="宋体" w:hAnsi="宋体" w:eastAsia="宋体" w:cs="宋体"/>
          <w:sz w:val="32"/>
          <w:lang w:eastAsia="zh-CN"/>
        </w:rPr>
        <w:br w:type="textWrapping"/>
      </w:r>
      <w:r>
        <w:rPr>
          <w:rFonts w:hint="eastAsia" w:ascii="宋体" w:hAnsi="宋体" w:eastAsia="宋体" w:cs="宋体"/>
          <w:sz w:val="32"/>
          <w:lang w:eastAsia="zh-CN"/>
        </w:rPr>
        <w:t>——拉康镜像理论下的《你当像鸟飞往你的山》</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刘静</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从拉康的镜像理论重新审视《你当像鸟飞往你的山》文本，可以发现在女主人公的成长过程中，充斥着他者与自我的权利游戏。当长期在男权话语体系下处于“他者”地位的塔拉试图认识自我在世界中所扮演的角色时，似乎正步步印证了拉康的“镜像理论”，也揭露了女性主体自我确证的困境。塔拉首先基于他者的认知，构建了父权制下的伪自我。随后又囿于男权凝视，自我意识觉醒过程受阻，陷入了自我的混淆及主体的迷失。最后，在教育的引领下，塔拉通过修正记忆、直面现实完成了自我重塑，构建了具有拥有自身主体性的自我意识。</w:t>
      </w:r>
    </w:p>
    <w:p>
      <w:pPr>
        <w:spacing w:line="560" w:lineRule="exact"/>
        <w:ind w:firstLine="480" w:firstLineChars="200"/>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塔拉·韦斯特弗；《你当像鸟飞往你的山》；拉康镜像理论; 他者；自我</w:t>
      </w:r>
    </w:p>
    <w:p>
      <w:pPr>
        <w:widowControl/>
        <w:rPr>
          <w:b/>
          <w:bCs/>
          <w:sz w:val="32"/>
          <w:szCs w:val="32"/>
          <w:lang w:eastAsia="zh-CN"/>
        </w:rPr>
        <w:sectPr>
          <w:pgSz w:w="11910" w:h="16840"/>
          <w:pgMar w:top="1240" w:right="1660" w:bottom="1140" w:left="1680" w:header="935" w:footer="945" w:gutter="0"/>
          <w:cols w:space="720" w:num="1"/>
        </w:sectPr>
      </w:pPr>
    </w:p>
    <w:p>
      <w:pPr>
        <w:pStyle w:val="4"/>
        <w:rPr>
          <w:rFonts w:ascii="宋体" w:hAnsi="宋体" w:eastAsia="宋体" w:cs="宋体"/>
          <w:sz w:val="32"/>
          <w:lang w:eastAsia="zh-CN"/>
        </w:rPr>
      </w:pPr>
      <w:r>
        <w:rPr>
          <w:rFonts w:hint="eastAsia" w:ascii="宋体" w:hAnsi="宋体" w:eastAsia="宋体" w:cs="宋体"/>
          <w:sz w:val="32"/>
          <w:lang w:eastAsia="zh-CN"/>
        </w:rPr>
        <w:t>论《篱笆》中的仪式书写与身份重建</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马玉</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篱笆》是美国当代非裔剧作家奥古斯特·威尔逊的代表作。本文从仪式书写视角，使用人类学家范·杰内普的“过渡仪式”理论对其进行解读。剧中的父亲特洛伊及其两个儿子均试图通过“出走仪式”逃离旧生活环境的桎梏，探寻新的身份；而美国社会中严重的种族主义使特洛伊身份重建失败，代表反抗的“驱魔仪式”也并未让其摆脱身份迷失的“阈限”状态；母亲萝丝在遭遇丈夫背叛后却出人意料地完成了“成人仪式”，承担起母亲的教导责任，引导儿子柯里真正“成人”；柯里与瑞内尔对父辈文化的传承，以及加百列为特洛伊举行的葬礼仪式，二者均暗示作者威尔逊试图揭示的主题：非裔美国人只有在回归非洲传统文化的前提下，才能完成身份重建。</w:t>
      </w:r>
    </w:p>
    <w:p>
      <w:pPr>
        <w:spacing w:line="560" w:lineRule="exact"/>
        <w:ind w:firstLine="480" w:firstLineChars="200"/>
        <w:rPr>
          <w:rFonts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 xml:space="preserve"> 《篱笆》；奥古斯特·威尔逊；仪式；身份重建</w:t>
      </w:r>
    </w:p>
    <w:p>
      <w:pPr>
        <w:rPr>
          <w:rFonts w:ascii="仿宋" w:hAnsi="仿宋" w:eastAsia="仿宋"/>
          <w:b/>
          <w:bCs/>
          <w:sz w:val="24"/>
          <w:szCs w:val="24"/>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“寂寞的汽笛”</w:t>
      </w:r>
      <w:r>
        <w:rPr>
          <w:rFonts w:hint="eastAsia" w:ascii="宋体" w:hAnsi="宋体" w:eastAsia="宋体" w:cs="宋体"/>
          <w:sz w:val="32"/>
          <w:lang w:eastAsia="zh-CN"/>
        </w:rPr>
        <w:br w:type="textWrapping"/>
      </w:r>
      <w:r>
        <w:rPr>
          <w:rFonts w:hint="eastAsia" w:ascii="宋体" w:hAnsi="宋体" w:eastAsia="宋体" w:cs="宋体"/>
          <w:sz w:val="32"/>
          <w:lang w:eastAsia="zh-CN"/>
        </w:rPr>
        <w:t>——空间批评视域下《火车梦》中的生存困境分析</w:t>
      </w:r>
    </w:p>
    <w:p>
      <w:pPr>
        <w:spacing w:line="560" w:lineRule="exact"/>
        <w:jc w:val="center"/>
        <w:rPr>
          <w:rFonts w:ascii="宋体" w:hAnsi="宋体" w:eastAsia="宋体" w:cs="宋体"/>
          <w:b/>
          <w:bCs/>
          <w:sz w:val="32"/>
          <w:szCs w:val="32"/>
          <w:lang w:eastAsia="zh-CN"/>
        </w:rPr>
      </w:pPr>
      <w:r>
        <w:rPr>
          <w:rFonts w:hint="eastAsia" w:ascii="华文仿宋" w:hAnsi="华文仿宋" w:eastAsia="华文仿宋" w:cs="华文仿宋"/>
          <w:sz w:val="24"/>
          <w:szCs w:val="24"/>
          <w:lang w:eastAsia="zh-CN"/>
        </w:rPr>
        <w:t>刘沛莹</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hint="eastAsia"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美国作家丹尼斯·约翰逊的中篇小说《火车梦》以第三人称视角讲述了普通人罗伯特·格兰尼尔从二十世纪初到六十年代里琐碎却充满波折的生活故事。本文借助空间批评理论解读《火车梦》，通过分析小说中的地理空间、心理空间和社会空间，旨在探究二十世纪美国西部工业扩张造成人们心灵的迷惘，揭示出时代风云变幻中现代主体的生存困境，从而引发读者对工业化时代的社会弊病的思考。</w:t>
      </w:r>
    </w:p>
    <w:p>
      <w:pPr>
        <w:spacing w:line="560" w:lineRule="exact"/>
        <w:ind w:firstLine="480" w:firstLineChars="200"/>
        <w:jc w:val="both"/>
        <w:rPr>
          <w:rFonts w:hint="eastAsia"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 xml:space="preserve"> 丹尼斯·威尔逊；《火车梦》；空间批评；生存困境</w:t>
      </w:r>
    </w:p>
    <w:p>
      <w:pPr>
        <w:widowControl/>
        <w:jc w:val="center"/>
        <w:rPr>
          <w:rFonts w:hint="eastAsia" w:ascii="宋体" w:hAnsi="宋体" w:eastAsia="宋体" w:cs="宋体"/>
          <w:b/>
          <w:bCs/>
          <w:sz w:val="32"/>
          <w:szCs w:val="32"/>
          <w:lang w:val="en-US" w:eastAsia="zh-CN" w:bidi="ar-SA"/>
        </w:rPr>
      </w:pPr>
    </w:p>
    <w:p>
      <w:pPr>
        <w:pStyle w:val="4"/>
        <w:bidi w:val="0"/>
        <w:rPr>
          <w:rFonts w:hint="eastAsia"/>
          <w:lang w:val="en-US" w:eastAsia="zh-CN"/>
        </w:rPr>
      </w:pPr>
      <w:r>
        <w:rPr>
          <w:rFonts w:hint="eastAsia" w:ascii="宋体" w:hAnsi="宋体" w:eastAsia="宋体" w:cs="宋体"/>
          <w:sz w:val="32"/>
          <w:lang w:val="en-US" w:eastAsia="zh-CN"/>
        </w:rPr>
        <w:t>NSFC资助下中国工程教育研究热点及趋势探索（2013-2023）</w:t>
      </w:r>
    </w:p>
    <w:p>
      <w:pPr>
        <w:spacing w:line="560" w:lineRule="exact"/>
        <w:jc w:val="center"/>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宋佩珊</w:t>
      </w:r>
    </w:p>
    <w:p>
      <w:pPr>
        <w:spacing w:line="560" w:lineRule="exact"/>
        <w:jc w:val="center"/>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hint="eastAsia"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工程教育的发展对于中国应对国际科技风险挑战、提升全球科技供应链地位，有着至关重要的作用。中国自然科学基金委员会（NSFC）致力于推动中国工程教育发展。基于文献计量法，结合可视化工具CiteSpace，对2013—2023年间国内外由NSFC资助的工程教育研究的文献数据进行分析，构建NSFC资助下工程教育研究的热点和趋势科学知识图谱。在此基础上探索中国工程教育的发展规律及特点，进一步揭示我国自然科学基金支持的科技创新与发展的中国特色，以期为工程教育理论研究与实践探索提供有益参考。</w:t>
      </w:r>
    </w:p>
    <w:p>
      <w:pPr>
        <w:spacing w:line="560" w:lineRule="exact"/>
        <w:ind w:firstLine="480" w:firstLineChars="200"/>
        <w:jc w:val="both"/>
        <w:rPr>
          <w:rFonts w:hint="eastAsia"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lang w:eastAsia="zh-CN"/>
        </w:rPr>
        <w:t>中国国家自然科学基金委；工程教育；CiteSpace</w:t>
      </w:r>
    </w:p>
    <w:p>
      <w:pPr>
        <w:pStyle w:val="4"/>
        <w:bidi w:val="0"/>
        <w:rPr>
          <w:rFonts w:hint="eastAsia" w:ascii="宋体" w:hAnsi="宋体" w:eastAsia="宋体" w:cs="宋体"/>
          <w:sz w:val="32"/>
          <w:lang w:val="en-US" w:eastAsia="zh-CN"/>
        </w:rPr>
      </w:pPr>
      <w:r>
        <w:rPr>
          <w:rFonts w:hint="eastAsia" w:ascii="宋体" w:hAnsi="宋体" w:eastAsia="宋体" w:cs="宋体"/>
          <w:sz w:val="32"/>
          <w:lang w:val="en-US" w:eastAsia="zh-CN"/>
        </w:rPr>
        <w:t>国内外教育领域智库研究的对比分析</w:t>
      </w:r>
    </w:p>
    <w:p>
      <w:pPr>
        <w:spacing w:line="560" w:lineRule="exact"/>
        <w:jc w:val="center"/>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陆惟谊</w:t>
      </w:r>
    </w:p>
    <w:p>
      <w:pPr>
        <w:spacing w:line="560" w:lineRule="exact"/>
        <w:jc w:val="center"/>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hint="eastAsia"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研究运用 CiteSpace 软件，对 2009—2022 年国内外关于教育领域智库研究的 511 篇文献进行对比分析，旨在绘制国内外教育领域智库研究的知识图谱，为中国的教育领域智库发展提供取长补短式的借鉴。研究发现，发文量及发文趋势方面，国内外研究对教育领域的关注都不够充分；研究机构方面，国内外都以大学智库为研究助力，但国内机构合作密度有待提升；研究热点方面，国内研究侧重于结构导向和制度取向，强调“高校智库”“教育智库”的建设及创新，而国外研究倾向于现实应用和政策取向，强调智库研究为教育决策服务；研究前沿方面，国内正在探索“智库联盟”及“教育治理”，国外尚不明确。结合政策背景及发展需要，未来教育领域的智库研究可从中外合作、现实服务、学科融合、对外传播等方面开展。</w:t>
      </w:r>
    </w:p>
    <w:p>
      <w:pPr>
        <w:spacing w:line="560" w:lineRule="exact"/>
        <w:ind w:firstLine="480" w:firstLineChars="200"/>
        <w:jc w:val="both"/>
        <w:rPr>
          <w:rFonts w:hint="eastAsia"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智库；教育；国内外对比；CiteSpace</w:t>
      </w:r>
    </w:p>
    <w:p>
      <w:pPr>
        <w:tabs>
          <w:tab w:val="left" w:pos="2164"/>
        </w:tabs>
        <w:spacing w:line="425" w:lineRule="exact"/>
        <w:ind w:right="115"/>
        <w:rPr>
          <w:rFonts w:ascii="华文仿宋" w:hAnsi="华文仿宋" w:eastAsia="华文仿宋" w:cs="华文仿宋"/>
          <w:b/>
          <w:bCs/>
          <w:w w:val="95"/>
          <w:sz w:val="32"/>
          <w:szCs w:val="32"/>
          <w:lang w:eastAsia="zh-CN"/>
        </w:rPr>
      </w:pPr>
    </w:p>
    <w:p>
      <w:pPr>
        <w:pStyle w:val="3"/>
        <w:rPr>
          <w:lang w:eastAsia="zh-CN"/>
        </w:rPr>
      </w:pPr>
      <w:r>
        <w:rPr>
          <w:rFonts w:hint="eastAsia"/>
          <w:lang w:eastAsia="zh-CN"/>
        </w:rPr>
        <w:t>翻译学与笔译组（</w:t>
      </w:r>
      <w:r>
        <w:rPr>
          <w:rFonts w:hint="eastAsia"/>
          <w:lang w:val="en-US" w:eastAsia="zh-CN"/>
        </w:rPr>
        <w:t>6</w:t>
      </w:r>
      <w:r>
        <w:rPr>
          <w:rFonts w:hint="eastAsia"/>
          <w:lang w:eastAsia="zh-CN"/>
        </w:rPr>
        <w:t>人）</w:t>
      </w:r>
    </w:p>
    <w:p>
      <w:pPr>
        <w:tabs>
          <w:tab w:val="left" w:pos="2164"/>
        </w:tabs>
        <w:spacing w:line="425" w:lineRule="exact"/>
        <w:ind w:left="120" w:right="115"/>
        <w:jc w:val="center"/>
        <w:rPr>
          <w:rFonts w:ascii="华文仿宋" w:hAnsi="华文仿宋" w:eastAsia="华文仿宋" w:cs="华文仿宋"/>
          <w:b/>
          <w:bCs/>
          <w:sz w:val="32"/>
          <w:szCs w:val="32"/>
          <w:lang w:eastAsia="zh-CN"/>
        </w:rPr>
      </w:pPr>
    </w:p>
    <w:tbl>
      <w:tblPr>
        <w:tblStyle w:val="17"/>
        <w:tblW w:w="7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04" w:type="dxa"/>
            <w:shd w:val="clear" w:color="auto" w:fill="auto"/>
            <w:noWrap/>
            <w:vAlign w:val="center"/>
          </w:tcPr>
          <w:p>
            <w:pPr>
              <w:widowControl/>
              <w:jc w:val="center"/>
              <w:rPr>
                <w:rFonts w:ascii="黑体" w:hAnsi="黑体" w:eastAsia="黑体" w:cs="宋体"/>
                <w:b/>
                <w:bCs/>
                <w:color w:val="000000"/>
                <w:sz w:val="24"/>
                <w:szCs w:val="24"/>
                <w:lang w:eastAsia="zh-CN"/>
              </w:rPr>
            </w:pPr>
            <w:r>
              <w:rPr>
                <w:rFonts w:hint="eastAsia" w:ascii="黑体" w:hAnsi="黑体" w:eastAsia="黑体" w:cs="宋体"/>
                <w:b/>
                <w:bCs/>
                <w:color w:val="000000"/>
                <w:sz w:val="24"/>
                <w:szCs w:val="24"/>
                <w:lang w:eastAsia="zh-CN"/>
              </w:rPr>
              <w:t>序号</w:t>
            </w:r>
          </w:p>
        </w:tc>
        <w:tc>
          <w:tcPr>
            <w:tcW w:w="6804" w:type="dxa"/>
            <w:shd w:val="clear" w:color="auto" w:fill="auto"/>
            <w:noWrap/>
            <w:vAlign w:val="center"/>
          </w:tcPr>
          <w:p>
            <w:pPr>
              <w:widowControl/>
              <w:jc w:val="center"/>
              <w:rPr>
                <w:rFonts w:ascii="黑体" w:hAnsi="黑体" w:eastAsia="黑体" w:cs="宋体"/>
                <w:b/>
                <w:bCs/>
                <w:color w:val="000000"/>
                <w:sz w:val="24"/>
                <w:szCs w:val="24"/>
                <w:lang w:eastAsia="zh-CN"/>
              </w:rPr>
            </w:pPr>
            <w:r>
              <w:rPr>
                <w:rFonts w:hint="eastAsia" w:ascii="黑体" w:hAnsi="黑体" w:eastAsia="黑体" w:cs="宋体"/>
                <w:b/>
                <w:bCs/>
                <w:color w:val="000000"/>
                <w:sz w:val="24"/>
                <w:szCs w:val="24"/>
                <w:lang w:eastAsia="zh-CN"/>
              </w:rPr>
              <w:t>论文题目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04" w:type="dxa"/>
            <w:shd w:val="clear" w:color="auto" w:fill="auto"/>
            <w:noWrap/>
            <w:vAlign w:val="center"/>
          </w:tcPr>
          <w:p>
            <w:pPr>
              <w:widowControl/>
              <w:jc w:val="center"/>
              <w:rPr>
                <w:rFonts w:hint="default" w:ascii="Times New Roman" w:hAnsi="Times New Roman" w:eastAsia="楷体" w:cs="宋体"/>
                <w:color w:val="000000"/>
                <w:sz w:val="24"/>
                <w:szCs w:val="24"/>
                <w:lang w:val="en-US" w:eastAsia="zh-CN"/>
              </w:rPr>
            </w:pPr>
            <w:r>
              <w:rPr>
                <w:rFonts w:hint="eastAsia" w:ascii="Times New Roman" w:hAnsi="Times New Roman" w:eastAsia="楷体" w:cs="宋体"/>
                <w:color w:val="000000"/>
                <w:sz w:val="24"/>
                <w:szCs w:val="24"/>
                <w:lang w:val="en-US" w:eastAsia="zh-CN"/>
              </w:rPr>
              <w:t>1</w:t>
            </w:r>
          </w:p>
        </w:tc>
        <w:tc>
          <w:tcPr>
            <w:tcW w:w="6804" w:type="dxa"/>
            <w:shd w:val="clear" w:color="auto" w:fill="auto"/>
            <w:noWrap/>
            <w:vAlign w:val="center"/>
          </w:tcPr>
          <w:p>
            <w:pPr>
              <w:widowControl/>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高质量发展背景下外语学科发展的应然样态、提升困境与发展路向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04" w:type="dxa"/>
            <w:shd w:val="clear" w:color="auto" w:fill="auto"/>
            <w:noWrap/>
            <w:vAlign w:val="center"/>
          </w:tcPr>
          <w:p>
            <w:pPr>
              <w:widowControl/>
              <w:jc w:val="center"/>
              <w:rPr>
                <w:rFonts w:hint="default" w:ascii="Times New Roman" w:hAnsi="Times New Roman" w:eastAsia="楷体" w:cs="宋体"/>
                <w:color w:val="000000"/>
                <w:sz w:val="24"/>
                <w:szCs w:val="24"/>
                <w:lang w:val="en-US" w:eastAsia="zh-CN"/>
              </w:rPr>
            </w:pPr>
            <w:r>
              <w:rPr>
                <w:rFonts w:hint="eastAsia" w:ascii="Times New Roman" w:hAnsi="Times New Roman" w:eastAsia="楷体" w:cs="宋体"/>
                <w:color w:val="000000"/>
                <w:sz w:val="24"/>
                <w:szCs w:val="24"/>
                <w:lang w:val="en-US" w:eastAsia="zh-CN"/>
              </w:rPr>
              <w:t>2</w:t>
            </w:r>
          </w:p>
        </w:tc>
        <w:tc>
          <w:tcPr>
            <w:tcW w:w="6804" w:type="dxa"/>
            <w:shd w:val="clear" w:color="auto" w:fill="auto"/>
            <w:noWrap/>
            <w:vAlign w:val="center"/>
          </w:tcPr>
          <w:p>
            <w:pPr>
              <w:widowControl/>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技术赋能时代译者翻译能力结构模型构建与提升策略探究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04" w:type="dxa"/>
            <w:shd w:val="clear" w:color="auto" w:fill="auto"/>
            <w:noWrap/>
            <w:vAlign w:val="center"/>
          </w:tcPr>
          <w:p>
            <w:pPr>
              <w:widowControl/>
              <w:jc w:val="center"/>
              <w:rPr>
                <w:rFonts w:hint="default" w:ascii="Times New Roman" w:hAnsi="Times New Roman" w:eastAsia="楷体" w:cs="宋体"/>
                <w:color w:val="000000"/>
                <w:sz w:val="24"/>
                <w:szCs w:val="24"/>
                <w:lang w:val="en-US" w:eastAsia="zh-CN"/>
              </w:rPr>
            </w:pPr>
            <w:r>
              <w:rPr>
                <w:rFonts w:hint="eastAsia" w:ascii="Times New Roman" w:hAnsi="Times New Roman" w:eastAsia="楷体" w:cs="宋体"/>
                <w:color w:val="000000"/>
                <w:sz w:val="24"/>
                <w:szCs w:val="24"/>
                <w:lang w:val="en-US" w:eastAsia="zh-CN"/>
              </w:rPr>
              <w:t>3</w:t>
            </w:r>
          </w:p>
        </w:tc>
        <w:tc>
          <w:tcPr>
            <w:tcW w:w="6804" w:type="dxa"/>
            <w:shd w:val="clear" w:color="auto" w:fill="auto"/>
            <w:noWrap/>
            <w:vAlign w:val="center"/>
          </w:tcPr>
          <w:p>
            <w:pPr>
              <w:widowControl/>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国内句法复杂度研究现状与发展趋势——基于citespace的知识图谱分析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04" w:type="dxa"/>
            <w:shd w:val="clear" w:color="auto" w:fill="auto"/>
            <w:noWrap/>
            <w:vAlign w:val="center"/>
          </w:tcPr>
          <w:p>
            <w:pPr>
              <w:widowControl/>
              <w:jc w:val="center"/>
              <w:rPr>
                <w:rFonts w:hint="default" w:ascii="Times New Roman" w:hAnsi="Times New Roman" w:eastAsia="楷体" w:cs="宋体"/>
                <w:color w:val="000000"/>
                <w:sz w:val="24"/>
                <w:szCs w:val="24"/>
                <w:lang w:val="en-US" w:eastAsia="zh-CN"/>
              </w:rPr>
            </w:pPr>
            <w:r>
              <w:rPr>
                <w:rFonts w:hint="eastAsia" w:ascii="Times New Roman" w:hAnsi="Times New Roman" w:eastAsia="楷体" w:cs="宋体"/>
                <w:color w:val="000000"/>
                <w:sz w:val="24"/>
                <w:szCs w:val="24"/>
                <w:lang w:val="en-US" w:eastAsia="zh-CN"/>
              </w:rPr>
              <w:t>4</w:t>
            </w:r>
          </w:p>
        </w:tc>
        <w:tc>
          <w:tcPr>
            <w:tcW w:w="6804" w:type="dxa"/>
            <w:shd w:val="clear" w:color="auto" w:fill="auto"/>
            <w:noWrap/>
            <w:vAlign w:val="center"/>
          </w:tcPr>
          <w:p>
            <w:pPr>
              <w:widowControl/>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原始主义视角下当代小说中志怪元素的英译研究--以莫言小说《生死疲劳》葛浩文译本为例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04" w:type="dxa"/>
            <w:shd w:val="clear" w:color="auto" w:fill="auto"/>
            <w:noWrap/>
            <w:vAlign w:val="center"/>
          </w:tcPr>
          <w:p>
            <w:pPr>
              <w:widowControl/>
              <w:jc w:val="center"/>
              <w:rPr>
                <w:rFonts w:hint="default" w:ascii="Times New Roman" w:hAnsi="Times New Roman" w:eastAsia="楷体" w:cs="宋体"/>
                <w:color w:val="000000"/>
                <w:sz w:val="24"/>
                <w:szCs w:val="24"/>
                <w:lang w:val="en-US" w:eastAsia="zh-CN"/>
              </w:rPr>
            </w:pPr>
            <w:r>
              <w:rPr>
                <w:rFonts w:hint="eastAsia" w:ascii="Times New Roman" w:hAnsi="Times New Roman" w:eastAsia="楷体" w:cs="宋体"/>
                <w:color w:val="000000"/>
                <w:sz w:val="24"/>
                <w:szCs w:val="24"/>
                <w:lang w:val="en-US" w:eastAsia="zh-CN"/>
              </w:rPr>
              <w:t>5</w:t>
            </w:r>
          </w:p>
        </w:tc>
        <w:tc>
          <w:tcPr>
            <w:tcW w:w="6804" w:type="dxa"/>
            <w:shd w:val="clear" w:color="auto" w:fill="auto"/>
            <w:noWrap/>
            <w:vAlign w:val="center"/>
          </w:tcPr>
          <w:p>
            <w:pPr>
              <w:widowControl/>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机器翻译针对材料科学文献标题与摘要的可行性研究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04" w:type="dxa"/>
            <w:shd w:val="clear" w:color="auto" w:fill="auto"/>
            <w:noWrap/>
            <w:vAlign w:val="center"/>
          </w:tcPr>
          <w:p>
            <w:pPr>
              <w:widowControl/>
              <w:jc w:val="center"/>
              <w:rPr>
                <w:rFonts w:hint="default" w:ascii="Times New Roman" w:hAnsi="Times New Roman" w:eastAsia="楷体" w:cs="宋体"/>
                <w:color w:val="000000"/>
                <w:sz w:val="24"/>
                <w:szCs w:val="24"/>
                <w:lang w:val="en-US" w:eastAsia="zh-CN"/>
              </w:rPr>
            </w:pPr>
            <w:r>
              <w:rPr>
                <w:rFonts w:hint="eastAsia" w:ascii="Times New Roman" w:hAnsi="Times New Roman" w:eastAsia="楷体" w:cs="宋体"/>
                <w:color w:val="000000"/>
                <w:sz w:val="24"/>
                <w:szCs w:val="24"/>
                <w:lang w:val="en-US" w:eastAsia="zh-CN"/>
              </w:rPr>
              <w:t>6</w:t>
            </w:r>
          </w:p>
        </w:tc>
        <w:tc>
          <w:tcPr>
            <w:tcW w:w="6804" w:type="dxa"/>
            <w:shd w:val="clear" w:color="auto" w:fill="auto"/>
            <w:noWrap/>
            <w:vAlign w:val="center"/>
          </w:tcPr>
          <w:p>
            <w:pPr>
              <w:widowControl/>
              <w:jc w:val="center"/>
              <w:rPr>
                <w:rFonts w:ascii="Times New Roman" w:hAnsi="Times New Roman" w:eastAsia="楷体" w:cs="宋体"/>
                <w:color w:val="000000"/>
                <w:sz w:val="24"/>
                <w:szCs w:val="24"/>
                <w:lang w:eastAsia="zh-CN"/>
              </w:rPr>
            </w:pPr>
            <w:r>
              <w:rPr>
                <w:rFonts w:hint="eastAsia" w:ascii="Times New Roman" w:hAnsi="Times New Roman" w:eastAsia="楷体" w:cs="宋体"/>
                <w:color w:val="000000"/>
                <w:sz w:val="24"/>
                <w:szCs w:val="24"/>
                <w:lang w:eastAsia="zh-CN"/>
              </w:rPr>
              <w:t>漫议西方汉学论著的翻译问题</w:t>
            </w:r>
          </w:p>
        </w:tc>
      </w:tr>
    </w:tbl>
    <w:p>
      <w:pPr>
        <w:spacing w:line="560" w:lineRule="exact"/>
        <w:rPr>
          <w:rFonts w:ascii="仿宋" w:hAnsi="仿宋" w:eastAsia="仿宋"/>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高质量发展背景下外语学科发展的应然样态、提升困境与发展路向</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陈一琦</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高质量发展是全面建设社会主义现代化国家的首要任务。在当今发展稳步阔进的时代背景下，契合中国外语学科发展的整体步伐，新时代高校外语学科亟需实现向高质量发展的整体跃迁。当前，高校外语学科发展面临在管理和资源分配、人才培养、学科教育等方面的提升困境。以提升国家外语能力为根本遵循，新时代高校英语学科应当厘清高质量发展的应然样态，从多方面提出英语学科的发展向度，以期更好推动高校外语教学与科研发展，服务国家发展战略和满足社会需求的重大任务，以融贯的实践理路实现对高质量发展这一时代吁求的拓补与超越。</w:t>
      </w:r>
    </w:p>
    <w:p>
      <w:pPr>
        <w:spacing w:line="560" w:lineRule="exact"/>
        <w:ind w:firstLine="480" w:firstLineChars="200"/>
        <w:rPr>
          <w:rFonts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高质量发展，外语学科，发展路向</w:t>
      </w:r>
    </w:p>
    <w:p>
      <w:pPr>
        <w:spacing w:line="560" w:lineRule="exact"/>
        <w:rPr>
          <w:rFonts w:ascii="仿宋" w:hAnsi="仿宋" w:eastAsia="仿宋"/>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技术赋能时代译者翻译能力结构模型构建与提升策略探究</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魏慧蝶</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技术赋能时代，对译者的翻译能力要求提高，译者翻译能力的结构也需要相应演进。本文首先厘清翻译能力的概念内涵，然后梳理翻译能力结构的演进历程，进而构建译者翻译能力结构模型，最后从革新翻译认知、重视课程建设、强化数字素养三个方面提出翻译专业学生能力提升策略。</w:t>
      </w:r>
    </w:p>
    <w:p>
      <w:pPr>
        <w:spacing w:line="560" w:lineRule="exact"/>
        <w:ind w:firstLine="480" w:firstLineChars="200"/>
        <w:rPr>
          <w:rFonts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技术赋能; 翻译能力; 模型构建</w:t>
      </w:r>
    </w:p>
    <w:p>
      <w:pPr>
        <w:spacing w:line="560" w:lineRule="exact"/>
        <w:rPr>
          <w:rFonts w:ascii="仿宋" w:hAnsi="仿宋" w:eastAsia="仿宋"/>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国内句法复杂度研究现状与发展趋势——基于citespace的知识图谱分析</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武景</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句法复杂度是反映和衡量学习者二语书面语和口语产出水平发展的重要标准，对于二语学习者以及二语教学具有重要意义。本文通过CiteSpace文献计量工具对中国知网（CNKI）2009-2023年国内句法复杂度研究文献进行知识图谱分析。研究发现句法复杂度研究在国内尚处于发展时期，对于句法复杂度的研究主要分为四类。第一，各变量对句法复杂度的影响。第二，探究产出作品的句法复杂特征。第三，对比英语学习者和英语母语者的句法复杂度。第四，探究写作质量与句法复杂度的关系。</w:t>
      </w:r>
    </w:p>
    <w:p>
      <w:pPr>
        <w:spacing w:line="560" w:lineRule="exact"/>
        <w:ind w:firstLine="480" w:firstLineChars="200"/>
        <w:rPr>
          <w:rFonts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句法复杂度；可视化分析；研究热点与趋势</w:t>
      </w:r>
    </w:p>
    <w:p>
      <w:pPr>
        <w:spacing w:line="560" w:lineRule="exact"/>
        <w:rPr>
          <w:rFonts w:ascii="仿宋" w:hAnsi="仿宋" w:eastAsia="仿宋"/>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原始主义视角下当代小说中志怪元素的英译研究--以莫言小说《生死疲劳》葛浩文译本为例</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李若君</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jc w:val="both"/>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志怪”一直是中国传统文化中的重要组成部分。“志怪”文类兴盛于六朝，从六朝到北宋中叶，志怪作品逐渐退出主流位置，地位逐渐下降。然而，自20世纪80年代以来，以莫言为代表的一大批当代现实主义小说家开启了对中国小说志怪传奇传统创造性改造的潮流。此次潮流受到拉美魔幻现实主义和中国古代的志怪述异文学传统的双重影响、启迪，同时兼具本土性和现代性，但究其本质，还是对中国传统文化的一场创造性复兴。志怪元素充满原始文明的神秘色彩，代表着对现实的批判和对原始美好的向往，这一特征与西方原始主义理论有许多相似之处。本文从原始主义视角，以莫言的《生死疲劳》为研究对象，研究小说中志怪元素中体现的西方原始主义的两大外延—文化原始主义和年代原始主义以及四种内涵，剖析在英译本中原始主义要素产生的转变和其背后的原因。</w:t>
      </w:r>
    </w:p>
    <w:p>
      <w:pPr>
        <w:spacing w:line="560" w:lineRule="exact"/>
        <w:ind w:firstLine="480" w:firstLineChars="200"/>
        <w:rPr>
          <w:rFonts w:ascii="仿宋" w:hAnsi="仿宋" w:eastAsia="仿宋"/>
          <w:lang w:eastAsia="zh-CN"/>
        </w:r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志怪；《生死疲劳》；原始主义；莫言</w:t>
      </w:r>
    </w:p>
    <w:p>
      <w:pPr>
        <w:widowControl/>
        <w:spacing w:line="560" w:lineRule="exact"/>
        <w:rPr>
          <w:rFonts w:ascii="仿宋" w:hAnsi="仿宋" w:eastAsia="仿宋"/>
          <w:lang w:eastAsia="zh-CN"/>
        </w:rPr>
      </w:pPr>
      <w:r>
        <w:rPr>
          <w:rFonts w:ascii="仿宋" w:hAnsi="仿宋" w:eastAsia="仿宋"/>
          <w:lang w:eastAsia="zh-CN"/>
        </w:rPr>
        <w:br w:type="page"/>
      </w:r>
    </w:p>
    <w:p>
      <w:pPr>
        <w:widowControl/>
        <w:spacing w:line="560" w:lineRule="exact"/>
        <w:rPr>
          <w:rFonts w:hint="eastAsia" w:ascii="仿宋" w:hAnsi="仿宋" w:eastAsia="仿宋"/>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机器翻译针对材料科学文献标题与摘要的可行性研究</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王雨桐</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摘要：</w:t>
      </w:r>
      <w:r>
        <w:rPr>
          <w:rFonts w:hint="eastAsia" w:ascii="华文仿宋" w:hAnsi="华文仿宋" w:eastAsia="华文仿宋" w:cs="华文仿宋"/>
          <w:sz w:val="24"/>
          <w:szCs w:val="24"/>
          <w:lang w:eastAsia="zh-CN"/>
        </w:rPr>
        <w:t>当前，无论是学术研究还是科技创新都不乏机器翻译的身影。本文将机器翻译与材料科学领域的文献翻译结合，并通过对比文献摘要和标题的机译译文与人工编辑译文，旨在探究机器翻译在科技文献领域的科学性和可行性。研究结果表明，机器翻译能够有效地对材料科学文献标题和摘要进行预处理，并且在提高人工处理效率方面具有广阔的前景。同时也发现，在一些特定领域以及一些复杂句式的理解和处理机器翻译尚有一定的局限性。因此，本文通过对文献标题和摘要中的主要错误类型进行总结，期望进一步挖掘人助机译的突破口，方便机器翻译在未来更好地服务于材料科学行业乃至整个科技领域的发展。</w:t>
      </w:r>
    </w:p>
    <w:p>
      <w:pPr>
        <w:spacing w:line="560" w:lineRule="exact"/>
        <w:ind w:firstLine="480" w:firstLineChars="200"/>
        <w:rPr>
          <w:rFonts w:ascii="华文仿宋" w:hAnsi="华文仿宋" w:eastAsia="华文仿宋" w:cs="华文仿宋"/>
          <w:sz w:val="24"/>
          <w:szCs w:val="24"/>
          <w:lang w:eastAsia="zh-CN"/>
        </w:rPr>
        <w:sectPr>
          <w:pgSz w:w="11910" w:h="16840"/>
          <w:pgMar w:top="1240" w:right="1660" w:bottom="1140" w:left="1680" w:header="935" w:footer="945" w:gutter="0"/>
          <w:cols w:space="720" w:num="1"/>
        </w:sect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机器翻译；材料科学；可行性；摘要</w:t>
      </w:r>
    </w:p>
    <w:p>
      <w:pPr>
        <w:spacing w:line="560" w:lineRule="exact"/>
        <w:rPr>
          <w:rFonts w:ascii="仿宋" w:hAnsi="仿宋" w:eastAsia="仿宋"/>
          <w:lang w:eastAsia="zh-CN"/>
        </w:rPr>
      </w:pPr>
    </w:p>
    <w:p>
      <w:pPr>
        <w:pStyle w:val="4"/>
        <w:rPr>
          <w:rFonts w:ascii="宋体" w:hAnsi="宋体" w:eastAsia="宋体" w:cs="宋体"/>
          <w:sz w:val="32"/>
          <w:lang w:eastAsia="zh-CN"/>
        </w:rPr>
      </w:pPr>
      <w:r>
        <w:rPr>
          <w:rFonts w:hint="eastAsia" w:ascii="宋体" w:hAnsi="宋体" w:eastAsia="宋体" w:cs="宋体"/>
          <w:sz w:val="32"/>
          <w:lang w:eastAsia="zh-CN"/>
        </w:rPr>
        <w:t>漫议西方汉学论著的翻译问题</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李晓彤</w:t>
      </w:r>
    </w:p>
    <w:p>
      <w:pPr>
        <w:spacing w:line="560" w:lineRule="exact"/>
        <w:jc w:val="center"/>
        <w:rPr>
          <w:rFonts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t>外国语言文化学院</w:t>
      </w:r>
    </w:p>
    <w:p>
      <w:pPr>
        <w:spacing w:line="560" w:lineRule="exact"/>
        <w:ind w:firstLine="480" w:firstLineChars="200"/>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摘 要：</w:t>
      </w:r>
      <w:r>
        <w:rPr>
          <w:rFonts w:hint="eastAsia" w:ascii="华文仿宋" w:hAnsi="华文仿宋" w:eastAsia="华文仿宋" w:cs="华文仿宋"/>
          <w:sz w:val="24"/>
          <w:szCs w:val="24"/>
          <w:lang w:eastAsia="zh-CN"/>
        </w:rPr>
        <w:t>汉学翻译已然成为当下国内学界的一大文化现象。纵观国内汉学翻译的相关作品，存在很多不足之处，大致可分为三类：原著本身模糊不清或失误导致的译文失误；译者汉学专业知识的匮乏导致人名的误译；译者中国文史知识的欠 缺导致地名翻译、官职翻译等专名的翻译出现纰漏。在翻译汉学著作的过程中，我们认为汉学译者必须有清醒的母语意识与正确的民族立场；汉学译者应与汉学学者通力合作；汉学译者应善用工具书，做到“书”不离手。</w:t>
      </w:r>
    </w:p>
    <w:p>
      <w:pPr>
        <w:spacing w:line="560" w:lineRule="exact"/>
        <w:ind w:firstLine="480" w:firstLineChars="200"/>
        <w:rPr>
          <w:rFonts w:ascii="华文仿宋" w:hAnsi="华文仿宋" w:eastAsia="华文仿宋" w:cs="华文仿宋"/>
          <w:sz w:val="24"/>
          <w:szCs w:val="24"/>
          <w:lang w:eastAsia="zh-CN"/>
        </w:rPr>
      </w:pPr>
      <w:r>
        <w:rPr>
          <w:rFonts w:hint="eastAsia" w:ascii="华文仿宋" w:hAnsi="华文仿宋" w:eastAsia="华文仿宋" w:cs="华文仿宋"/>
          <w:b/>
          <w:bCs/>
          <w:sz w:val="24"/>
          <w:szCs w:val="24"/>
          <w:lang w:eastAsia="zh-CN"/>
        </w:rPr>
        <w:t>关键词：</w:t>
      </w:r>
      <w:r>
        <w:rPr>
          <w:rFonts w:hint="eastAsia" w:ascii="华文仿宋" w:hAnsi="华文仿宋" w:eastAsia="华文仿宋" w:cs="华文仿宋"/>
          <w:sz w:val="24"/>
          <w:szCs w:val="24"/>
          <w:lang w:eastAsia="zh-CN"/>
        </w:rPr>
        <w:t>汉学；汉学翻译；回译</w:t>
      </w:r>
    </w:p>
    <w:p>
      <w:pPr>
        <w:widowControl/>
        <w:spacing w:line="560" w:lineRule="exact"/>
        <w:rPr>
          <w:rFonts w:ascii="仿宋" w:hAnsi="仿宋" w:eastAsia="仿宋"/>
          <w:lang w:eastAsia="zh-CN"/>
        </w:rPr>
      </w:pPr>
    </w:p>
    <w:p>
      <w:pPr>
        <w:pStyle w:val="6"/>
        <w:spacing w:line="400" w:lineRule="exact"/>
        <w:ind w:firstLine="472" w:firstLineChars="200"/>
        <w:jc w:val="both"/>
        <w:rPr>
          <w:rFonts w:ascii="华文仿宋" w:hAnsi="华文仿宋" w:eastAsia="华文仿宋" w:cs="华文仿宋"/>
          <w:spacing w:val="-2"/>
          <w:lang w:eastAsia="zh-CN"/>
        </w:rPr>
      </w:pPr>
    </w:p>
    <w:sectPr>
      <w:pgSz w:w="11910" w:h="16840"/>
      <w:pgMar w:top="1240" w:right="1660" w:bottom="1140" w:left="1680" w:header="935" w:footer="94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59264" behindDoc="1" locked="0" layoutInCell="1" allowOverlap="1">
              <wp:simplePos x="0" y="0"/>
              <wp:positionH relativeFrom="page">
                <wp:posOffset>3542665</wp:posOffset>
              </wp:positionH>
              <wp:positionV relativeFrom="page">
                <wp:posOffset>9952355</wp:posOffset>
              </wp:positionV>
              <wp:extent cx="474980" cy="139700"/>
              <wp:effectExtent l="0" t="0" r="0" b="0"/>
              <wp:wrapNone/>
              <wp:docPr id="6" name="Text Box 1"/>
              <wp:cNvGraphicFramePr/>
              <a:graphic xmlns:a="http://schemas.openxmlformats.org/drawingml/2006/main">
                <a:graphicData uri="http://schemas.microsoft.com/office/word/2010/wordprocessingShape">
                  <wps:wsp>
                    <wps:cNvSpPr txBox="1">
                      <a:spLocks noChangeArrowheads="1"/>
                    </wps:cNvSpPr>
                    <wps:spPr bwMode="auto">
                      <a:xfrm>
                        <a:off x="0" y="0"/>
                        <a:ext cx="474980" cy="139700"/>
                      </a:xfrm>
                      <a:prstGeom prst="rect">
                        <a:avLst/>
                      </a:prstGeom>
                      <a:noFill/>
                      <a:ln>
                        <a:noFill/>
                      </a:ln>
                    </wps:spPr>
                    <wps:txbx>
                      <w:txbxContent>
                        <w:p>
                          <w:pPr>
                            <w:spacing w:line="203" w:lineRule="exact"/>
                            <w:ind w:left="20"/>
                            <w:rPr>
                              <w:rFonts w:ascii="华文仿宋" w:hAnsi="华文仿宋" w:eastAsia="华文仿宋" w:cs="华文仿宋"/>
                              <w:sz w:val="18"/>
                              <w:szCs w:val="18"/>
                            </w:rPr>
                          </w:pPr>
                          <w:r>
                            <w:rPr>
                              <w:rFonts w:ascii="华文仿宋" w:hAnsi="华文仿宋" w:eastAsia="华文仿宋" w:cs="华文仿宋"/>
                              <w:sz w:val="18"/>
                              <w:szCs w:val="18"/>
                            </w:rPr>
                            <w:t xml:space="preserve">第 </w:t>
                          </w:r>
                          <w:r>
                            <w:rPr>
                              <w:rFonts w:ascii="华文仿宋" w:hAnsi="华文仿宋" w:eastAsia="华文仿宋" w:cs="华文仿宋"/>
                              <w:sz w:val="18"/>
                              <w:szCs w:val="18"/>
                            </w:rPr>
                            <w:fldChar w:fldCharType="begin"/>
                          </w:r>
                          <w:r>
                            <w:rPr>
                              <w:rFonts w:ascii="华文仿宋" w:hAnsi="华文仿宋" w:eastAsia="华文仿宋" w:cs="华文仿宋"/>
                              <w:sz w:val="18"/>
                              <w:szCs w:val="18"/>
                            </w:rPr>
                            <w:instrText xml:space="preserve"> PAGE  \* MERGEFORMAT </w:instrText>
                          </w:r>
                          <w:r>
                            <w:rPr>
                              <w:rFonts w:ascii="华文仿宋" w:hAnsi="华文仿宋" w:eastAsia="华文仿宋" w:cs="华文仿宋"/>
                              <w:sz w:val="18"/>
                              <w:szCs w:val="18"/>
                            </w:rPr>
                            <w:fldChar w:fldCharType="separate"/>
                          </w:r>
                          <w:r>
                            <w:rPr>
                              <w:rFonts w:ascii="华文仿宋" w:hAnsi="华文仿宋" w:eastAsia="华文仿宋" w:cs="华文仿宋"/>
                              <w:sz w:val="18"/>
                              <w:szCs w:val="18"/>
                            </w:rPr>
                            <w:t>1</w:t>
                          </w:r>
                          <w:r>
                            <w:rPr>
                              <w:rFonts w:ascii="华文仿宋" w:hAnsi="华文仿宋" w:eastAsia="华文仿宋" w:cs="华文仿宋"/>
                              <w:sz w:val="18"/>
                              <w:szCs w:val="18"/>
                            </w:rPr>
                            <w:fldChar w:fldCharType="end"/>
                          </w:r>
                          <w:r>
                            <w:rPr>
                              <w:rFonts w:ascii="华文仿宋" w:hAnsi="华文仿宋" w:eastAsia="华文仿宋" w:cs="华文仿宋"/>
                              <w:sz w:val="18"/>
                              <w:szCs w:val="18"/>
                            </w:rPr>
                            <w:t xml:space="preserve"> 页</w:t>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78.95pt;margin-top:783.65pt;height:11pt;width:37.4pt;mso-position-horizontal-relative:page;mso-position-vertical-relative:page;z-index:-251657216;mso-width-relative:page;mso-height-relative:page;" filled="f" stroked="f" coordsize="21600,21600" o:gfxdata="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QKNJLbAAAA&#10;DQEAAA8AAAAAAAAAAQAgAAAAIgAAAGRycy9kb3ducmV2LnhtbFBLAQIUABQAAAAIAIdO4kC2yayO&#10;4QEAALUDAAAOAAAAAAAAAAEAIAAAACoBAABkcnMvZTJvRG9jLnhtbFBLBQYAAAAABgAGAFkBAAB9&#10;BQAAAAA=&#10;">
              <v:fill on="f" focussize="0,0"/>
              <v:stroke on="f"/>
              <v:imagedata o:title=""/>
              <o:lock v:ext="edit" aspectratio="f"/>
              <v:textbox inset="0mm,0mm,0mm,0mm">
                <w:txbxContent>
                  <w:p>
                    <w:pPr>
                      <w:spacing w:line="203" w:lineRule="exact"/>
                      <w:ind w:left="20"/>
                      <w:rPr>
                        <w:rFonts w:ascii="华文仿宋" w:hAnsi="华文仿宋" w:eastAsia="华文仿宋" w:cs="华文仿宋"/>
                        <w:sz w:val="18"/>
                        <w:szCs w:val="18"/>
                      </w:rPr>
                    </w:pPr>
                    <w:r>
                      <w:rPr>
                        <w:rFonts w:ascii="华文仿宋" w:hAnsi="华文仿宋" w:eastAsia="华文仿宋" w:cs="华文仿宋"/>
                        <w:sz w:val="18"/>
                        <w:szCs w:val="18"/>
                      </w:rPr>
                      <w:t xml:space="preserve">第 </w:t>
                    </w:r>
                    <w:r>
                      <w:rPr>
                        <w:rFonts w:ascii="华文仿宋" w:hAnsi="华文仿宋" w:eastAsia="华文仿宋" w:cs="华文仿宋"/>
                        <w:sz w:val="18"/>
                        <w:szCs w:val="18"/>
                      </w:rPr>
                      <w:fldChar w:fldCharType="begin"/>
                    </w:r>
                    <w:r>
                      <w:rPr>
                        <w:rFonts w:ascii="华文仿宋" w:hAnsi="华文仿宋" w:eastAsia="华文仿宋" w:cs="华文仿宋"/>
                        <w:sz w:val="18"/>
                        <w:szCs w:val="18"/>
                      </w:rPr>
                      <w:instrText xml:space="preserve"> PAGE  \* MERGEFORMAT </w:instrText>
                    </w:r>
                    <w:r>
                      <w:rPr>
                        <w:rFonts w:ascii="华文仿宋" w:hAnsi="华文仿宋" w:eastAsia="华文仿宋" w:cs="华文仿宋"/>
                        <w:sz w:val="18"/>
                        <w:szCs w:val="18"/>
                      </w:rPr>
                      <w:fldChar w:fldCharType="separate"/>
                    </w:r>
                    <w:r>
                      <w:rPr>
                        <w:rFonts w:ascii="华文仿宋" w:hAnsi="华文仿宋" w:eastAsia="华文仿宋" w:cs="华文仿宋"/>
                        <w:sz w:val="18"/>
                        <w:szCs w:val="18"/>
                      </w:rPr>
                      <w:t>1</w:t>
                    </w:r>
                    <w:r>
                      <w:rPr>
                        <w:rFonts w:ascii="华文仿宋" w:hAnsi="华文仿宋" w:eastAsia="华文仿宋" w:cs="华文仿宋"/>
                        <w:sz w:val="18"/>
                        <w:szCs w:val="18"/>
                      </w:rPr>
                      <w:fldChar w:fldCharType="end"/>
                    </w:r>
                    <w:r>
                      <w:rPr>
                        <w:rFonts w:ascii="华文仿宋" w:hAnsi="华文仿宋" w:eastAsia="华文仿宋" w:cs="华文仿宋"/>
                        <w:sz w:val="18"/>
                        <w:szCs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lang w:eastAsia="zh-CN"/>
      </w:rPr>
    </w:pPr>
    <w:r>
      <w:rPr>
        <w:rFonts w:hint="eastAsia" w:ascii="仿宋" w:hAnsi="仿宋" w:eastAsia="仿宋" w:cs="仿宋"/>
        <w:sz w:val="24"/>
        <w:szCs w:val="24"/>
        <w:lang w:eastAsia="zh-CN"/>
      </w:rPr>
      <w:t>中国矿业大学外文学院第十八届研究生学术论坛暨青年学者论坛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kMTFhYzQ5YTk0ZTg3ZWRjZWY2NDIxYjAyMmZiNTEifQ=="/>
  </w:docVars>
  <w:rsids>
    <w:rsidRoot w:val="00757FED"/>
    <w:rsid w:val="00011D52"/>
    <w:rsid w:val="0001360B"/>
    <w:rsid w:val="00014900"/>
    <w:rsid w:val="00014B51"/>
    <w:rsid w:val="00014D59"/>
    <w:rsid w:val="00015EF6"/>
    <w:rsid w:val="00016B1E"/>
    <w:rsid w:val="000273A7"/>
    <w:rsid w:val="00040217"/>
    <w:rsid w:val="000451D1"/>
    <w:rsid w:val="00063B7E"/>
    <w:rsid w:val="00070F6C"/>
    <w:rsid w:val="0008126A"/>
    <w:rsid w:val="000A51BF"/>
    <w:rsid w:val="000B6672"/>
    <w:rsid w:val="000D5D10"/>
    <w:rsid w:val="000E32EB"/>
    <w:rsid w:val="000E6F1C"/>
    <w:rsid w:val="00112161"/>
    <w:rsid w:val="00117AA5"/>
    <w:rsid w:val="00130E9A"/>
    <w:rsid w:val="0013419E"/>
    <w:rsid w:val="001608F5"/>
    <w:rsid w:val="00162D2F"/>
    <w:rsid w:val="001652CF"/>
    <w:rsid w:val="001746AF"/>
    <w:rsid w:val="0018378D"/>
    <w:rsid w:val="00195204"/>
    <w:rsid w:val="00197195"/>
    <w:rsid w:val="001A03FC"/>
    <w:rsid w:val="001A095A"/>
    <w:rsid w:val="001A3894"/>
    <w:rsid w:val="001A46F0"/>
    <w:rsid w:val="001A642A"/>
    <w:rsid w:val="001A7993"/>
    <w:rsid w:val="001B4360"/>
    <w:rsid w:val="001C1E42"/>
    <w:rsid w:val="001C60AA"/>
    <w:rsid w:val="001C6E28"/>
    <w:rsid w:val="00201738"/>
    <w:rsid w:val="00201C88"/>
    <w:rsid w:val="00205DB4"/>
    <w:rsid w:val="002061DC"/>
    <w:rsid w:val="00206EB4"/>
    <w:rsid w:val="002163DB"/>
    <w:rsid w:val="00223F5D"/>
    <w:rsid w:val="00224F67"/>
    <w:rsid w:val="00225539"/>
    <w:rsid w:val="0023249D"/>
    <w:rsid w:val="00236B8B"/>
    <w:rsid w:val="00274094"/>
    <w:rsid w:val="00274CF8"/>
    <w:rsid w:val="00276EC0"/>
    <w:rsid w:val="00283CBE"/>
    <w:rsid w:val="00295044"/>
    <w:rsid w:val="002A3CF7"/>
    <w:rsid w:val="002A4450"/>
    <w:rsid w:val="002B3087"/>
    <w:rsid w:val="002C3564"/>
    <w:rsid w:val="002D41C3"/>
    <w:rsid w:val="002D66AA"/>
    <w:rsid w:val="002E1713"/>
    <w:rsid w:val="002F7C84"/>
    <w:rsid w:val="003000E9"/>
    <w:rsid w:val="003024D3"/>
    <w:rsid w:val="00302D87"/>
    <w:rsid w:val="00310315"/>
    <w:rsid w:val="00330710"/>
    <w:rsid w:val="003407E7"/>
    <w:rsid w:val="003562DE"/>
    <w:rsid w:val="003626EA"/>
    <w:rsid w:val="00380236"/>
    <w:rsid w:val="00385F24"/>
    <w:rsid w:val="00390450"/>
    <w:rsid w:val="00390CF0"/>
    <w:rsid w:val="003A0B26"/>
    <w:rsid w:val="003A397E"/>
    <w:rsid w:val="003B0228"/>
    <w:rsid w:val="003B0EDB"/>
    <w:rsid w:val="003B2A67"/>
    <w:rsid w:val="003C3E03"/>
    <w:rsid w:val="003C6484"/>
    <w:rsid w:val="003D015F"/>
    <w:rsid w:val="003E1E87"/>
    <w:rsid w:val="003F1C3E"/>
    <w:rsid w:val="003F5D69"/>
    <w:rsid w:val="00414C86"/>
    <w:rsid w:val="0043438D"/>
    <w:rsid w:val="00462C8C"/>
    <w:rsid w:val="00463257"/>
    <w:rsid w:val="00463F65"/>
    <w:rsid w:val="00466AF9"/>
    <w:rsid w:val="00470668"/>
    <w:rsid w:val="004710A3"/>
    <w:rsid w:val="00471188"/>
    <w:rsid w:val="004950C2"/>
    <w:rsid w:val="004A1EBC"/>
    <w:rsid w:val="004A4060"/>
    <w:rsid w:val="004A520D"/>
    <w:rsid w:val="004C4001"/>
    <w:rsid w:val="004D0D34"/>
    <w:rsid w:val="004D6A91"/>
    <w:rsid w:val="004E632C"/>
    <w:rsid w:val="004F28B0"/>
    <w:rsid w:val="004F5CCA"/>
    <w:rsid w:val="00503F8C"/>
    <w:rsid w:val="00522FAB"/>
    <w:rsid w:val="00535C17"/>
    <w:rsid w:val="0054551D"/>
    <w:rsid w:val="005474B2"/>
    <w:rsid w:val="00571239"/>
    <w:rsid w:val="00584D99"/>
    <w:rsid w:val="00591BE0"/>
    <w:rsid w:val="00592874"/>
    <w:rsid w:val="005A3A01"/>
    <w:rsid w:val="005A7ED2"/>
    <w:rsid w:val="005B1D21"/>
    <w:rsid w:val="005B238C"/>
    <w:rsid w:val="005B3278"/>
    <w:rsid w:val="005B402F"/>
    <w:rsid w:val="005B412D"/>
    <w:rsid w:val="005C051A"/>
    <w:rsid w:val="005C2D35"/>
    <w:rsid w:val="005C403F"/>
    <w:rsid w:val="005D0E3D"/>
    <w:rsid w:val="0060166A"/>
    <w:rsid w:val="00601C47"/>
    <w:rsid w:val="0064784C"/>
    <w:rsid w:val="006533C0"/>
    <w:rsid w:val="00655B17"/>
    <w:rsid w:val="006715ED"/>
    <w:rsid w:val="006946E4"/>
    <w:rsid w:val="006A4663"/>
    <w:rsid w:val="006A52A6"/>
    <w:rsid w:val="006B00DB"/>
    <w:rsid w:val="006B19E2"/>
    <w:rsid w:val="006B6B58"/>
    <w:rsid w:val="006C1072"/>
    <w:rsid w:val="006C2C1D"/>
    <w:rsid w:val="00706CD2"/>
    <w:rsid w:val="00713A54"/>
    <w:rsid w:val="007176AE"/>
    <w:rsid w:val="00717BB6"/>
    <w:rsid w:val="007379FC"/>
    <w:rsid w:val="007459C2"/>
    <w:rsid w:val="0075233F"/>
    <w:rsid w:val="0075240B"/>
    <w:rsid w:val="00752BF4"/>
    <w:rsid w:val="00756DDC"/>
    <w:rsid w:val="00757FED"/>
    <w:rsid w:val="00761734"/>
    <w:rsid w:val="00766A46"/>
    <w:rsid w:val="00774445"/>
    <w:rsid w:val="007869DE"/>
    <w:rsid w:val="007870CF"/>
    <w:rsid w:val="0078756D"/>
    <w:rsid w:val="007916ED"/>
    <w:rsid w:val="00793819"/>
    <w:rsid w:val="007A30D0"/>
    <w:rsid w:val="007B64A3"/>
    <w:rsid w:val="007B7A20"/>
    <w:rsid w:val="007C2048"/>
    <w:rsid w:val="007C21FC"/>
    <w:rsid w:val="007C6D29"/>
    <w:rsid w:val="007C7979"/>
    <w:rsid w:val="007D3F00"/>
    <w:rsid w:val="007E2C67"/>
    <w:rsid w:val="007F1A49"/>
    <w:rsid w:val="007F2EAF"/>
    <w:rsid w:val="0080465D"/>
    <w:rsid w:val="00804B1E"/>
    <w:rsid w:val="00804EA6"/>
    <w:rsid w:val="00816DFF"/>
    <w:rsid w:val="0082497E"/>
    <w:rsid w:val="00826D0A"/>
    <w:rsid w:val="008279D0"/>
    <w:rsid w:val="008319C3"/>
    <w:rsid w:val="00831AD6"/>
    <w:rsid w:val="00837163"/>
    <w:rsid w:val="00875A21"/>
    <w:rsid w:val="0088028B"/>
    <w:rsid w:val="0089238D"/>
    <w:rsid w:val="00897C5F"/>
    <w:rsid w:val="008B3393"/>
    <w:rsid w:val="008D0C8D"/>
    <w:rsid w:val="008D46EE"/>
    <w:rsid w:val="008E236D"/>
    <w:rsid w:val="008E33C9"/>
    <w:rsid w:val="008E60B2"/>
    <w:rsid w:val="00904D51"/>
    <w:rsid w:val="0090544D"/>
    <w:rsid w:val="009130BF"/>
    <w:rsid w:val="00924558"/>
    <w:rsid w:val="0093369F"/>
    <w:rsid w:val="00951E89"/>
    <w:rsid w:val="00960358"/>
    <w:rsid w:val="00964FF2"/>
    <w:rsid w:val="00967777"/>
    <w:rsid w:val="009700B2"/>
    <w:rsid w:val="0097494D"/>
    <w:rsid w:val="0099477B"/>
    <w:rsid w:val="009948F6"/>
    <w:rsid w:val="009A662D"/>
    <w:rsid w:val="009A77B8"/>
    <w:rsid w:val="009B216C"/>
    <w:rsid w:val="009B470F"/>
    <w:rsid w:val="009C5153"/>
    <w:rsid w:val="009C7A7C"/>
    <w:rsid w:val="009D3AB2"/>
    <w:rsid w:val="009D6AA5"/>
    <w:rsid w:val="009E395D"/>
    <w:rsid w:val="009E6AE2"/>
    <w:rsid w:val="00A04585"/>
    <w:rsid w:val="00A100E1"/>
    <w:rsid w:val="00A16BF0"/>
    <w:rsid w:val="00A314CF"/>
    <w:rsid w:val="00A374A1"/>
    <w:rsid w:val="00A40065"/>
    <w:rsid w:val="00A52437"/>
    <w:rsid w:val="00A63A5D"/>
    <w:rsid w:val="00A66565"/>
    <w:rsid w:val="00A756CC"/>
    <w:rsid w:val="00A8005C"/>
    <w:rsid w:val="00A975B9"/>
    <w:rsid w:val="00AA56A9"/>
    <w:rsid w:val="00AB6A28"/>
    <w:rsid w:val="00AB7F21"/>
    <w:rsid w:val="00AC045B"/>
    <w:rsid w:val="00AD0D11"/>
    <w:rsid w:val="00AD10C9"/>
    <w:rsid w:val="00AD7979"/>
    <w:rsid w:val="00AD7CEB"/>
    <w:rsid w:val="00AE5646"/>
    <w:rsid w:val="00AF5535"/>
    <w:rsid w:val="00B015C7"/>
    <w:rsid w:val="00B16D4D"/>
    <w:rsid w:val="00B23C06"/>
    <w:rsid w:val="00B25C7B"/>
    <w:rsid w:val="00B33562"/>
    <w:rsid w:val="00B346CB"/>
    <w:rsid w:val="00B476CA"/>
    <w:rsid w:val="00B66B2C"/>
    <w:rsid w:val="00B67D8E"/>
    <w:rsid w:val="00B80A1C"/>
    <w:rsid w:val="00B81B5C"/>
    <w:rsid w:val="00B8762D"/>
    <w:rsid w:val="00B90652"/>
    <w:rsid w:val="00BB37D6"/>
    <w:rsid w:val="00BB4DEC"/>
    <w:rsid w:val="00BE1BE9"/>
    <w:rsid w:val="00C05BA8"/>
    <w:rsid w:val="00C16898"/>
    <w:rsid w:val="00C24057"/>
    <w:rsid w:val="00C34CD9"/>
    <w:rsid w:val="00C444DF"/>
    <w:rsid w:val="00C571FB"/>
    <w:rsid w:val="00C77A3F"/>
    <w:rsid w:val="00C923F4"/>
    <w:rsid w:val="00C9514B"/>
    <w:rsid w:val="00CA56D3"/>
    <w:rsid w:val="00CD2ABE"/>
    <w:rsid w:val="00CE3332"/>
    <w:rsid w:val="00CE643B"/>
    <w:rsid w:val="00CF7DA3"/>
    <w:rsid w:val="00D03627"/>
    <w:rsid w:val="00D04500"/>
    <w:rsid w:val="00D100B1"/>
    <w:rsid w:val="00D14CBE"/>
    <w:rsid w:val="00D22041"/>
    <w:rsid w:val="00D261DE"/>
    <w:rsid w:val="00D315B5"/>
    <w:rsid w:val="00D345F1"/>
    <w:rsid w:val="00D51473"/>
    <w:rsid w:val="00D5218D"/>
    <w:rsid w:val="00D5472F"/>
    <w:rsid w:val="00D55E5D"/>
    <w:rsid w:val="00D830B7"/>
    <w:rsid w:val="00D9514A"/>
    <w:rsid w:val="00D9584A"/>
    <w:rsid w:val="00D95E6A"/>
    <w:rsid w:val="00DA0F4E"/>
    <w:rsid w:val="00DB4F6F"/>
    <w:rsid w:val="00DB57E8"/>
    <w:rsid w:val="00DC55E3"/>
    <w:rsid w:val="00DE0F86"/>
    <w:rsid w:val="00DF1041"/>
    <w:rsid w:val="00DF2B59"/>
    <w:rsid w:val="00DF6AA6"/>
    <w:rsid w:val="00E0366C"/>
    <w:rsid w:val="00E05F9F"/>
    <w:rsid w:val="00E137C5"/>
    <w:rsid w:val="00E22DAD"/>
    <w:rsid w:val="00E22DB4"/>
    <w:rsid w:val="00E23C9A"/>
    <w:rsid w:val="00E253EB"/>
    <w:rsid w:val="00E351C5"/>
    <w:rsid w:val="00E42414"/>
    <w:rsid w:val="00E42AF1"/>
    <w:rsid w:val="00E451CA"/>
    <w:rsid w:val="00E62710"/>
    <w:rsid w:val="00E62F38"/>
    <w:rsid w:val="00E72464"/>
    <w:rsid w:val="00E76F1D"/>
    <w:rsid w:val="00E8181B"/>
    <w:rsid w:val="00E91735"/>
    <w:rsid w:val="00E971FE"/>
    <w:rsid w:val="00E97C01"/>
    <w:rsid w:val="00EA3BEF"/>
    <w:rsid w:val="00EA52AD"/>
    <w:rsid w:val="00EA78A2"/>
    <w:rsid w:val="00EB0F32"/>
    <w:rsid w:val="00EB776B"/>
    <w:rsid w:val="00EC764B"/>
    <w:rsid w:val="00ED420E"/>
    <w:rsid w:val="00ED4DB8"/>
    <w:rsid w:val="00EE006E"/>
    <w:rsid w:val="00EE15D7"/>
    <w:rsid w:val="00EF3CC2"/>
    <w:rsid w:val="00EF4D7F"/>
    <w:rsid w:val="00EF6BE2"/>
    <w:rsid w:val="00F0071F"/>
    <w:rsid w:val="00F03401"/>
    <w:rsid w:val="00F06357"/>
    <w:rsid w:val="00F42DE0"/>
    <w:rsid w:val="00F42F12"/>
    <w:rsid w:val="00F5685C"/>
    <w:rsid w:val="00F71D33"/>
    <w:rsid w:val="00F75A33"/>
    <w:rsid w:val="00F82E08"/>
    <w:rsid w:val="00F92519"/>
    <w:rsid w:val="00F94411"/>
    <w:rsid w:val="00FB5BB0"/>
    <w:rsid w:val="00FC0FED"/>
    <w:rsid w:val="00FC644F"/>
    <w:rsid w:val="00FC66F8"/>
    <w:rsid w:val="00FE469F"/>
    <w:rsid w:val="00FF193E"/>
    <w:rsid w:val="00FF251F"/>
    <w:rsid w:val="00FF7112"/>
    <w:rsid w:val="014A4AC6"/>
    <w:rsid w:val="01BC35A4"/>
    <w:rsid w:val="05637974"/>
    <w:rsid w:val="06744317"/>
    <w:rsid w:val="09B03FA2"/>
    <w:rsid w:val="0BE343E5"/>
    <w:rsid w:val="0D740100"/>
    <w:rsid w:val="0FD665CC"/>
    <w:rsid w:val="12477519"/>
    <w:rsid w:val="131F3105"/>
    <w:rsid w:val="15400B6B"/>
    <w:rsid w:val="158631EE"/>
    <w:rsid w:val="158A572F"/>
    <w:rsid w:val="15F9039E"/>
    <w:rsid w:val="17BD1E73"/>
    <w:rsid w:val="19930A03"/>
    <w:rsid w:val="1BDE18C4"/>
    <w:rsid w:val="1D0E1057"/>
    <w:rsid w:val="1D4A7512"/>
    <w:rsid w:val="1D587486"/>
    <w:rsid w:val="1F386DB6"/>
    <w:rsid w:val="1FD6554E"/>
    <w:rsid w:val="20820041"/>
    <w:rsid w:val="20C316E8"/>
    <w:rsid w:val="239F39EC"/>
    <w:rsid w:val="250121E4"/>
    <w:rsid w:val="255A209E"/>
    <w:rsid w:val="29892104"/>
    <w:rsid w:val="314B56E3"/>
    <w:rsid w:val="31B45031"/>
    <w:rsid w:val="34F82440"/>
    <w:rsid w:val="36062639"/>
    <w:rsid w:val="39BC0B9A"/>
    <w:rsid w:val="40BD1B77"/>
    <w:rsid w:val="43AE3FF2"/>
    <w:rsid w:val="447843FF"/>
    <w:rsid w:val="44E944FF"/>
    <w:rsid w:val="45691F4C"/>
    <w:rsid w:val="4657536F"/>
    <w:rsid w:val="46E43B44"/>
    <w:rsid w:val="4E545DBE"/>
    <w:rsid w:val="5331260A"/>
    <w:rsid w:val="56A6562A"/>
    <w:rsid w:val="5F794608"/>
    <w:rsid w:val="60653E97"/>
    <w:rsid w:val="61636217"/>
    <w:rsid w:val="64D50092"/>
    <w:rsid w:val="68606DE7"/>
    <w:rsid w:val="6BA931F3"/>
    <w:rsid w:val="6E187E6A"/>
    <w:rsid w:val="72651109"/>
    <w:rsid w:val="73456610"/>
    <w:rsid w:val="759C36E6"/>
    <w:rsid w:val="774B47D6"/>
    <w:rsid w:val="77FD7B54"/>
    <w:rsid w:val="788B6A6F"/>
    <w:rsid w:val="789D59F3"/>
    <w:rsid w:val="79E16A4C"/>
    <w:rsid w:val="7C7F64AE"/>
    <w:rsid w:val="7DD0797A"/>
    <w:rsid w:val="7EB12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1"/>
    <w:next w:val="1"/>
    <w:link w:val="27"/>
    <w:qFormat/>
    <w:uiPriority w:val="9"/>
    <w:pPr>
      <w:ind w:left="100"/>
      <w:outlineLvl w:val="0"/>
    </w:pPr>
    <w:rPr>
      <w:rFonts w:ascii="宋体" w:hAnsi="宋体" w:eastAsia="宋体"/>
      <w:b/>
      <w:bCs/>
      <w:sz w:val="32"/>
      <w:szCs w:val="32"/>
    </w:rPr>
  </w:style>
  <w:style w:type="paragraph" w:styleId="3">
    <w:name w:val="heading 2"/>
    <w:basedOn w:val="1"/>
    <w:next w:val="1"/>
    <w:link w:val="37"/>
    <w:unhideWhenUsed/>
    <w:qFormat/>
    <w:uiPriority w:val="9"/>
    <w:pPr>
      <w:ind w:left="100"/>
      <w:jc w:val="center"/>
      <w:outlineLvl w:val="1"/>
    </w:pPr>
    <w:rPr>
      <w:rFonts w:ascii="Times New Roman" w:hAnsi="Times New Roman" w:eastAsia="Times New Roman"/>
      <w:b/>
      <w:bCs/>
      <w:sz w:val="28"/>
      <w:szCs w:val="28"/>
    </w:rPr>
  </w:style>
  <w:style w:type="paragraph" w:styleId="4">
    <w:name w:val="heading 3"/>
    <w:basedOn w:val="1"/>
    <w:next w:val="1"/>
    <w:unhideWhenUsed/>
    <w:qFormat/>
    <w:uiPriority w:val="9"/>
    <w:pPr>
      <w:keepNext/>
      <w:keepLines/>
      <w:spacing w:line="560" w:lineRule="exact"/>
      <w:jc w:val="center"/>
      <w:outlineLvl w:val="2"/>
    </w:pPr>
    <w:rPr>
      <w:rFonts w:eastAsia="仿宋"/>
      <w:b/>
      <w:bCs/>
      <w:sz w:val="24"/>
      <w:szCs w:val="32"/>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32"/>
    <w:semiHidden/>
    <w:unhideWhenUsed/>
    <w:qFormat/>
    <w:uiPriority w:val="99"/>
  </w:style>
  <w:style w:type="paragraph" w:styleId="6">
    <w:name w:val="Body Text"/>
    <w:basedOn w:val="1"/>
    <w:link w:val="28"/>
    <w:qFormat/>
    <w:uiPriority w:val="1"/>
    <w:pPr>
      <w:ind w:left="120"/>
    </w:pPr>
    <w:rPr>
      <w:rFonts w:ascii="Times New Roman" w:hAnsi="Times New Roman" w:eastAsia="Times New Roman"/>
      <w:sz w:val="24"/>
      <w:szCs w:val="24"/>
    </w:rPr>
  </w:style>
  <w:style w:type="paragraph" w:styleId="7">
    <w:name w:val="toc 3"/>
    <w:basedOn w:val="1"/>
    <w:next w:val="1"/>
    <w:unhideWhenUsed/>
    <w:qFormat/>
    <w:uiPriority w:val="39"/>
    <w:pPr>
      <w:widowControl/>
      <w:spacing w:after="100" w:line="259" w:lineRule="auto"/>
      <w:ind w:left="440"/>
    </w:pPr>
    <w:rPr>
      <w:rFonts w:cs="Times New Roman"/>
      <w:lang w:eastAsia="zh-CN"/>
    </w:rPr>
  </w:style>
  <w:style w:type="paragraph" w:styleId="8">
    <w:name w:val="Balloon Text"/>
    <w:basedOn w:val="1"/>
    <w:link w:val="36"/>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Subtitle"/>
    <w:basedOn w:val="1"/>
    <w:next w:val="1"/>
    <w:link w:val="30"/>
    <w:qFormat/>
    <w:uiPriority w:val="11"/>
    <w:pPr>
      <w:spacing w:before="240" w:after="60" w:line="312" w:lineRule="auto"/>
      <w:jc w:val="center"/>
      <w:outlineLvl w:val="1"/>
    </w:pPr>
    <w:rPr>
      <w:b/>
      <w:bCs/>
      <w:kern w:val="28"/>
      <w:sz w:val="32"/>
      <w:szCs w:val="32"/>
    </w:rPr>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99"/>
    <w:rPr>
      <w:sz w:val="24"/>
    </w:rPr>
  </w:style>
  <w:style w:type="paragraph" w:styleId="15">
    <w:name w:val="Title"/>
    <w:basedOn w:val="1"/>
    <w:next w:val="1"/>
    <w:link w:val="29"/>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5"/>
    <w:next w:val="5"/>
    <w:link w:val="33"/>
    <w:semiHidden/>
    <w:unhideWhenUsed/>
    <w:qFormat/>
    <w:uiPriority w:val="99"/>
    <w:rPr>
      <w:b/>
      <w:bCs/>
    </w:rPr>
  </w:style>
  <w:style w:type="table" w:styleId="18">
    <w:name w:val="Table Grid"/>
    <w:basedOn w:val="17"/>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table" w:customStyle="1" w:styleId="22">
    <w:name w:val="Table Normal"/>
    <w:semiHidden/>
    <w:unhideWhenUsed/>
    <w:qFormat/>
    <w:uiPriority w:val="2"/>
    <w:tblPr>
      <w:tblCellMar>
        <w:top w:w="0" w:type="dxa"/>
        <w:left w:w="0" w:type="dxa"/>
        <w:bottom w:w="0" w:type="dxa"/>
        <w:right w:w="0" w:type="dxa"/>
      </w:tblCellMar>
    </w:tblPr>
  </w:style>
  <w:style w:type="paragraph" w:styleId="23">
    <w:name w:val="List Paragraph"/>
    <w:basedOn w:val="1"/>
    <w:qFormat/>
    <w:uiPriority w:val="1"/>
  </w:style>
  <w:style w:type="paragraph" w:customStyle="1" w:styleId="24">
    <w:name w:val="Table Paragraph"/>
    <w:basedOn w:val="1"/>
    <w:qFormat/>
    <w:uiPriority w:val="1"/>
  </w:style>
  <w:style w:type="character" w:customStyle="1" w:styleId="25">
    <w:name w:val="页眉 字符"/>
    <w:basedOn w:val="19"/>
    <w:link w:val="10"/>
    <w:qFormat/>
    <w:uiPriority w:val="99"/>
    <w:rPr>
      <w:sz w:val="18"/>
      <w:szCs w:val="18"/>
    </w:rPr>
  </w:style>
  <w:style w:type="character" w:customStyle="1" w:styleId="26">
    <w:name w:val="页脚 字符"/>
    <w:basedOn w:val="19"/>
    <w:link w:val="9"/>
    <w:qFormat/>
    <w:uiPriority w:val="99"/>
    <w:rPr>
      <w:sz w:val="18"/>
      <w:szCs w:val="18"/>
    </w:rPr>
  </w:style>
  <w:style w:type="character" w:customStyle="1" w:styleId="27">
    <w:name w:val="标题 1 字符"/>
    <w:basedOn w:val="19"/>
    <w:link w:val="2"/>
    <w:qFormat/>
    <w:uiPriority w:val="9"/>
    <w:rPr>
      <w:rFonts w:ascii="宋体" w:hAnsi="宋体" w:eastAsia="宋体"/>
      <w:b/>
      <w:bCs/>
      <w:sz w:val="32"/>
      <w:szCs w:val="32"/>
    </w:rPr>
  </w:style>
  <w:style w:type="character" w:customStyle="1" w:styleId="28">
    <w:name w:val="正文文本 字符"/>
    <w:basedOn w:val="19"/>
    <w:link w:val="6"/>
    <w:qFormat/>
    <w:uiPriority w:val="1"/>
    <w:rPr>
      <w:rFonts w:ascii="Times New Roman" w:hAnsi="Times New Roman" w:eastAsia="Times New Roman"/>
      <w:sz w:val="24"/>
      <w:szCs w:val="24"/>
    </w:rPr>
  </w:style>
  <w:style w:type="character" w:customStyle="1" w:styleId="29">
    <w:name w:val="标题 字符"/>
    <w:basedOn w:val="19"/>
    <w:link w:val="15"/>
    <w:qFormat/>
    <w:uiPriority w:val="10"/>
    <w:rPr>
      <w:rFonts w:asciiTheme="majorHAnsi" w:hAnsiTheme="majorHAnsi" w:eastAsiaTheme="majorEastAsia" w:cstheme="majorBidi"/>
      <w:b/>
      <w:bCs/>
      <w:sz w:val="32"/>
      <w:szCs w:val="32"/>
    </w:rPr>
  </w:style>
  <w:style w:type="character" w:customStyle="1" w:styleId="30">
    <w:name w:val="副标题 字符"/>
    <w:basedOn w:val="19"/>
    <w:link w:val="12"/>
    <w:qFormat/>
    <w:uiPriority w:val="11"/>
    <w:rPr>
      <w:b/>
      <w:bCs/>
      <w:kern w:val="28"/>
      <w:sz w:val="32"/>
      <w:szCs w:val="32"/>
    </w:rPr>
  </w:style>
  <w:style w:type="character" w:customStyle="1" w:styleId="31">
    <w:name w:val="未处理的提及1"/>
    <w:basedOn w:val="19"/>
    <w:semiHidden/>
    <w:unhideWhenUsed/>
    <w:qFormat/>
    <w:uiPriority w:val="99"/>
    <w:rPr>
      <w:color w:val="605E5C"/>
      <w:shd w:val="clear" w:color="auto" w:fill="E1DFDD"/>
    </w:rPr>
  </w:style>
  <w:style w:type="character" w:customStyle="1" w:styleId="32">
    <w:name w:val="批注文字 字符"/>
    <w:basedOn w:val="19"/>
    <w:link w:val="5"/>
    <w:semiHidden/>
    <w:qFormat/>
    <w:uiPriority w:val="99"/>
  </w:style>
  <w:style w:type="character" w:customStyle="1" w:styleId="33">
    <w:name w:val="批注主题 字符"/>
    <w:basedOn w:val="32"/>
    <w:link w:val="16"/>
    <w:semiHidden/>
    <w:qFormat/>
    <w:uiPriority w:val="99"/>
    <w:rPr>
      <w:b/>
      <w:bCs/>
    </w:rPr>
  </w:style>
  <w:style w:type="character" w:customStyle="1" w:styleId="34">
    <w:name w:val="未处理的提及2"/>
    <w:basedOn w:val="19"/>
    <w:semiHidden/>
    <w:unhideWhenUsed/>
    <w:qFormat/>
    <w:uiPriority w:val="99"/>
    <w:rPr>
      <w:color w:val="605E5C"/>
      <w:shd w:val="clear" w:color="auto" w:fill="E1DFDD"/>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批注框文本 字符"/>
    <w:basedOn w:val="19"/>
    <w:link w:val="8"/>
    <w:semiHidden/>
    <w:qFormat/>
    <w:uiPriority w:val="99"/>
    <w:rPr>
      <w:sz w:val="18"/>
      <w:szCs w:val="18"/>
      <w:lang w:eastAsia="en-US"/>
    </w:rPr>
  </w:style>
  <w:style w:type="character" w:customStyle="1" w:styleId="37">
    <w:name w:val="标题 2 字符"/>
    <w:link w:val="3"/>
    <w:qFormat/>
    <w:uiPriority w:val="9"/>
    <w:rPr>
      <w:rFonts w:ascii="Times New Roman" w:hAnsi="Times New Roman" w:eastAsia="Times New Roman"/>
      <w:b/>
      <w:bCs/>
      <w:sz w:val="28"/>
      <w:szCs w:val="28"/>
    </w:rPr>
  </w:style>
  <w:style w:type="paragraph" w:customStyle="1" w:styleId="38">
    <w:name w:val="TOC 标题1"/>
    <w:basedOn w:val="2"/>
    <w:next w:val="1"/>
    <w:unhideWhenUsed/>
    <w:qFormat/>
    <w:uiPriority w:val="39"/>
    <w:pPr>
      <w:keepNext/>
      <w:keepLines/>
      <w:widowControl/>
      <w:spacing w:before="240" w:line="259" w:lineRule="auto"/>
      <w:ind w:left="0"/>
      <w:outlineLvl w:val="9"/>
    </w:pPr>
    <w:rPr>
      <w:rFonts w:asciiTheme="majorHAnsi" w:hAnsiTheme="majorHAnsi" w:eastAsiaTheme="majorEastAsia" w:cstheme="majorBidi"/>
      <w:b w:val="0"/>
      <w:bCs w:val="0"/>
      <w:color w:val="376092" w:themeColor="accent1" w:themeShade="BF"/>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44AB81-97C4-4094-BD49-7AF471B7B01D}">
  <ds:schemaRefs/>
</ds:datastoreItem>
</file>

<file path=docProps/app.xml><?xml version="1.0" encoding="utf-8"?>
<Properties xmlns="http://schemas.openxmlformats.org/officeDocument/2006/extended-properties" xmlns:vt="http://schemas.openxmlformats.org/officeDocument/2006/docPropsVTypes">
  <Template>Normal</Template>
  <Pages>23</Pages>
  <Words>1169</Words>
  <Characters>6665</Characters>
  <Lines>55</Lines>
  <Paragraphs>15</Paragraphs>
  <TotalTime>12</TotalTime>
  <ScaleCrop>false</ScaleCrop>
  <LinksUpToDate>false</LinksUpToDate>
  <CharactersWithSpaces>7819</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2022-11-02T02:58:00Z</dcterms:created>
  <dc:creator>Administrator</dc:creator>
  <cp:lastModifiedBy>小小</cp:lastModifiedBy>
  <cp:lastPrinted>2020-11-25T01:55:00Z</cp:lastPrinted>
  <dcterms:modified xsi:type="dcterms:W3CDTF">2023-11-30T09:41:58Z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2018-10-19T00:00:00Z</vt:filetime>
  </property>
  <property fmtid="{D5CDD505-2E9C-101B-9397-08002B2CF9AE}" pid="3" name="Creator">
    <vt:lpwstr>WPS 文字</vt:lpwstr>
  </property>
  <property fmtid="{D5CDD505-2E9C-101B-9397-08002B2CF9AE}" pid="4" name="LastSaved">
    <vt:filetime>2019-10-10T00:00:00Z</vt:filetime>
  </property>
  <property fmtid="{D5CDD505-2E9C-101B-9397-08002B2CF9AE}" pid="5" name="KSOProductBuildVer">
    <vt:lpwstr>2052-11.1.0.10009</vt:lpwstr>
  </property>
  <property fmtid="{D5CDD505-2E9C-101B-9397-08002B2CF9AE}" pid="6" name="ICV">
    <vt:lpwstr>817F6BFA2B634CE5A24DE2D46BB4310B</vt:lpwstr>
  </property>
</Properties>
</file>